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5CAE3" w14:textId="13A111B1" w:rsidR="00720666" w:rsidRPr="00720666" w:rsidRDefault="004C0984" w:rsidP="00720666">
      <w:pPr>
        <w:spacing w:before="100" w:beforeAutospacing="1" w:after="100" w:afterAutospacing="1" w:line="240" w:lineRule="auto"/>
        <w:rPr>
          <w:rFonts w:ascii="Times New Roman" w:eastAsia="Times New Roman" w:hAnsi="Times New Roman" w:cs="Times New Roman"/>
          <w:color w:val="auto"/>
          <w:sz w:val="24"/>
          <w:szCs w:val="24"/>
          <w:lang w:eastAsia="en-GB"/>
        </w:rPr>
      </w:pPr>
      <w:r>
        <w:rPr>
          <w:noProof/>
        </w:rPr>
        <w:drawing>
          <wp:anchor distT="0" distB="0" distL="114300" distR="114300" simplePos="0" relativeHeight="251658242" behindDoc="0" locked="0" layoutInCell="1" allowOverlap="1" wp14:anchorId="25306F78" wp14:editId="01E172A2">
            <wp:simplePos x="0" y="0"/>
            <wp:positionH relativeFrom="column">
              <wp:posOffset>-384810</wp:posOffset>
            </wp:positionH>
            <wp:positionV relativeFrom="paragraph">
              <wp:posOffset>-2776855</wp:posOffset>
            </wp:positionV>
            <wp:extent cx="2606040" cy="530973"/>
            <wp:effectExtent l="0" t="0" r="381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6040" cy="5309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0666" w:rsidRPr="00720666">
        <w:rPr>
          <w:rFonts w:ascii="Times New Roman" w:eastAsia="Times New Roman" w:hAnsi="Times New Roman" w:cs="Times New Roman"/>
          <w:noProof/>
          <w:color w:val="auto"/>
          <w:sz w:val="24"/>
          <w:szCs w:val="24"/>
          <w:lang w:eastAsia="en-GB"/>
        </w:rPr>
        <w:drawing>
          <wp:anchor distT="0" distB="0" distL="114300" distR="114300" simplePos="0" relativeHeight="251658241" behindDoc="0" locked="0" layoutInCell="1" allowOverlap="1" wp14:anchorId="43114AF7" wp14:editId="40F75591">
            <wp:simplePos x="0" y="0"/>
            <wp:positionH relativeFrom="column">
              <wp:posOffset>5079365</wp:posOffset>
            </wp:positionH>
            <wp:positionV relativeFrom="paragraph">
              <wp:posOffset>-2790825</wp:posOffset>
            </wp:positionV>
            <wp:extent cx="1082040" cy="573939"/>
            <wp:effectExtent l="0" t="0" r="3810" b="0"/>
            <wp:wrapNone/>
            <wp:docPr id="52351004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510040"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2040" cy="5739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05B60A" w14:textId="005C11CB" w:rsidR="00AA6ACB" w:rsidRPr="008109A4" w:rsidRDefault="008109A4" w:rsidP="000A0F93">
      <w:pPr>
        <w:pStyle w:val="EcorysCoverTitle"/>
        <w:rPr>
          <w:sz w:val="40"/>
          <w:szCs w:val="40"/>
        </w:rPr>
      </w:pPr>
      <w:r>
        <w:rPr>
          <w:sz w:val="40"/>
          <w:szCs w:val="40"/>
          <w:lang w:eastAsia="en-GB"/>
        </w:rPr>
        <mc:AlternateContent>
          <mc:Choice Requires="wps">
            <w:drawing>
              <wp:anchor distT="0" distB="0" distL="114300" distR="114300" simplePos="0" relativeHeight="251658240" behindDoc="0" locked="0" layoutInCell="1" allowOverlap="1" wp14:anchorId="18D0FD03" wp14:editId="227BC92C">
                <wp:simplePos x="0" y="0"/>
                <wp:positionH relativeFrom="page">
                  <wp:align>left</wp:align>
                </wp:positionH>
                <wp:positionV relativeFrom="page">
                  <wp:align>top</wp:align>
                </wp:positionV>
                <wp:extent cx="7560000" cy="1080000"/>
                <wp:effectExtent l="0" t="0" r="3175" b="6350"/>
                <wp:wrapNone/>
                <wp:docPr id="124" name="Rectangle 1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DBC26" id="Rectangle 124" o:spid="_x0000_s1026" alt="&quot;&quot;" style="position:absolute;margin-left:0;margin-top:0;width:595.3pt;height:85.0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" fillcolor="white [3212]" stroked="f" strokeweight="1pt">
                <v:textbox inset="0,0,0,0"/>
                <w10:wrap anchorx="page" anchory="page"/>
              </v:rect>
            </w:pict>
          </mc:Fallback>
        </mc:AlternateContent>
      </w:r>
      <w:r w:rsidR="00211134">
        <w:rPr>
          <w:sz w:val="40"/>
          <w:szCs w:val="40"/>
        </w:rPr>
        <w:t>The political economy of commissioning: commissioning for earlier and better outcomes</w:t>
      </w:r>
    </w:p>
    <w:p w14:paraId="6D258E2C" w14:textId="2BE0417E" w:rsidR="00037F1A" w:rsidRPr="008109A4" w:rsidRDefault="00037F1A" w:rsidP="008109A4">
      <w:pPr>
        <w:pStyle w:val="EcorysCoverReference"/>
      </w:pPr>
    </w:p>
    <w:p w14:paraId="54CC2771" w14:textId="6F7E2FB8" w:rsidR="00A92BA1" w:rsidRDefault="00211134" w:rsidP="009F62D7">
      <w:pPr>
        <w:pStyle w:val="EcorysCoverText"/>
      </w:pPr>
      <w:r>
        <w:rPr>
          <w:b/>
        </w:rPr>
        <w:t xml:space="preserve">Final report: </w:t>
      </w:r>
      <w:r w:rsidR="00731EB6">
        <w:rPr>
          <w:b/>
        </w:rPr>
        <w:t>August</w:t>
      </w:r>
      <w:r>
        <w:rPr>
          <w:b/>
        </w:rPr>
        <w:t xml:space="preserve"> 2024</w:t>
      </w:r>
    </w:p>
    <w:p w14:paraId="371204D3" w14:textId="77777777" w:rsidR="00A92BA1" w:rsidRDefault="00A92BA1" w:rsidP="0016466D">
      <w:pPr>
        <w:pStyle w:val="EcorysBody"/>
      </w:pPr>
    </w:p>
    <w:p w14:paraId="494FE646" w14:textId="77777777" w:rsidR="00A92BA1" w:rsidRPr="0016466D" w:rsidRDefault="00A92BA1" w:rsidP="0016466D">
      <w:pPr>
        <w:pStyle w:val="EcorysBody"/>
        <w:sectPr w:rsidR="00A92BA1" w:rsidRPr="0016466D" w:rsidSect="005D7F4F">
          <w:headerReference w:type="even" r:id="rId13"/>
          <w:headerReference w:type="default" r:id="rId14"/>
          <w:headerReference w:type="first" r:id="rId15"/>
          <w:footerReference w:type="first" r:id="rId16"/>
          <w:type w:val="oddPage"/>
          <w:pgSz w:w="11906" w:h="16838" w:code="9"/>
          <w:pgMar w:top="4820" w:right="3968" w:bottom="284" w:left="1134" w:header="709" w:footer="709" w:gutter="0"/>
          <w:cols w:space="708"/>
          <w:titlePg/>
          <w:docGrid w:linePitch="360"/>
        </w:sectPr>
      </w:pPr>
    </w:p>
    <w:sdt>
      <w:sdtPr>
        <w:rPr>
          <w:rFonts w:asciiTheme="minorHAnsi" w:hAnsiTheme="minorHAnsi"/>
          <w:b w:val="0"/>
          <w:color w:val="000000" w:themeColor="text1"/>
          <w:sz w:val="22"/>
          <w:szCs w:val="22"/>
          <w:lang w:val="en-GB"/>
        </w:rPr>
        <w:id w:val="1472865618"/>
        <w:docPartObj>
          <w:docPartGallery w:val="Table of Contents"/>
          <w:docPartUnique/>
        </w:docPartObj>
      </w:sdtPr>
      <w:sdtEndPr/>
      <w:sdtContent>
        <w:p w14:paraId="1941DA2F" w14:textId="77777777" w:rsidR="0016466D" w:rsidRDefault="0016466D">
          <w:pPr>
            <w:pStyle w:val="TOCHeading"/>
          </w:pPr>
          <w:r>
            <w:t>Contents</w:t>
          </w:r>
        </w:p>
        <w:p w14:paraId="2CA8AC6B" w14:textId="548B9E4C" w:rsidR="000172D3" w:rsidRDefault="0016466D">
          <w:pPr>
            <w:pStyle w:val="TOC1"/>
            <w:rPr>
              <w:rFonts w:asciiTheme="minorHAnsi" w:eastAsiaTheme="minorEastAsia" w:hAnsiTheme="minorHAnsi" w:cstheme="minorBidi"/>
              <w:b w:val="0"/>
              <w:color w:val="auto"/>
              <w:kern w:val="2"/>
              <w:szCs w:val="24"/>
              <w:lang w:eastAsia="en-GB"/>
              <w14:ligatures w14:val="standardContextual"/>
            </w:rPr>
          </w:pPr>
          <w:r>
            <w:rPr>
              <w:b w:val="0"/>
            </w:rPr>
            <w:fldChar w:fldCharType="begin"/>
          </w:r>
          <w:r>
            <w:rPr>
              <w:b w:val="0"/>
            </w:rPr>
            <w:instrText xml:space="preserve"> TOC \h \z \t "Heading 1,1,Ecorys Section Level 02,2,Ecorys Section Level 03,3,Ecorys Section Level 04,4,Ecorys H1,1,Ecorys H2,2,Ecorys H3,3,Ecorys H4,4" </w:instrText>
          </w:r>
          <w:r>
            <w:rPr>
              <w:b w:val="0"/>
            </w:rPr>
            <w:fldChar w:fldCharType="separate"/>
          </w:r>
          <w:hyperlink w:anchor="_Toc167437656" w:history="1">
            <w:r w:rsidR="000172D3" w:rsidRPr="00EA72B6">
              <w:rPr>
                <w:rStyle w:val="Hyperlink"/>
              </w:rPr>
              <w:t xml:space="preserve">Executive Summary </w:t>
            </w:r>
            <w:r w:rsidR="000172D3">
              <w:rPr>
                <w:webHidden/>
              </w:rPr>
              <w:tab/>
            </w:r>
            <w:r w:rsidR="000172D3">
              <w:rPr>
                <w:webHidden/>
              </w:rPr>
              <w:fldChar w:fldCharType="begin"/>
            </w:r>
            <w:r w:rsidR="000172D3">
              <w:rPr>
                <w:webHidden/>
              </w:rPr>
              <w:instrText xml:space="preserve"> PAGEREF _Toc167437656 \h </w:instrText>
            </w:r>
            <w:r w:rsidR="000172D3">
              <w:rPr>
                <w:webHidden/>
              </w:rPr>
            </w:r>
            <w:r w:rsidR="000172D3">
              <w:rPr>
                <w:webHidden/>
              </w:rPr>
              <w:fldChar w:fldCharType="separate"/>
            </w:r>
            <w:r w:rsidR="000172D3">
              <w:rPr>
                <w:webHidden/>
              </w:rPr>
              <w:t>3</w:t>
            </w:r>
            <w:r w:rsidR="000172D3">
              <w:rPr>
                <w:webHidden/>
              </w:rPr>
              <w:fldChar w:fldCharType="end"/>
            </w:r>
          </w:hyperlink>
        </w:p>
        <w:p w14:paraId="5DEB4A67" w14:textId="5B7577A5" w:rsidR="000172D3" w:rsidRDefault="0010251C">
          <w:pPr>
            <w:pStyle w:val="TOC3"/>
            <w:rPr>
              <w:rFonts w:asciiTheme="minorHAnsi" w:eastAsiaTheme="minorEastAsia" w:hAnsiTheme="minorHAnsi"/>
              <w:noProof/>
              <w:color w:val="auto"/>
              <w:kern w:val="2"/>
              <w:sz w:val="24"/>
              <w:szCs w:val="24"/>
              <w:lang w:eastAsia="en-GB"/>
              <w14:ligatures w14:val="standardContextual"/>
            </w:rPr>
          </w:pPr>
          <w:hyperlink w:anchor="_Toc167437657" w:history="1">
            <w:r w:rsidR="000172D3" w:rsidRPr="00EA72B6">
              <w:rPr>
                <w:rStyle w:val="Hyperlink"/>
                <w:noProof/>
              </w:rPr>
              <w:t>Introduction</w:t>
            </w:r>
            <w:r w:rsidR="000172D3">
              <w:rPr>
                <w:noProof/>
                <w:webHidden/>
              </w:rPr>
              <w:tab/>
            </w:r>
            <w:r w:rsidR="000172D3">
              <w:rPr>
                <w:noProof/>
                <w:webHidden/>
              </w:rPr>
              <w:fldChar w:fldCharType="begin"/>
            </w:r>
            <w:r w:rsidR="000172D3">
              <w:rPr>
                <w:noProof/>
                <w:webHidden/>
              </w:rPr>
              <w:instrText xml:space="preserve"> PAGEREF _Toc167437657 \h </w:instrText>
            </w:r>
            <w:r w:rsidR="000172D3">
              <w:rPr>
                <w:noProof/>
                <w:webHidden/>
              </w:rPr>
            </w:r>
            <w:r w:rsidR="000172D3">
              <w:rPr>
                <w:noProof/>
                <w:webHidden/>
              </w:rPr>
              <w:fldChar w:fldCharType="separate"/>
            </w:r>
            <w:r w:rsidR="000172D3">
              <w:rPr>
                <w:noProof/>
                <w:webHidden/>
              </w:rPr>
              <w:t>3</w:t>
            </w:r>
            <w:r w:rsidR="000172D3">
              <w:rPr>
                <w:noProof/>
                <w:webHidden/>
              </w:rPr>
              <w:fldChar w:fldCharType="end"/>
            </w:r>
          </w:hyperlink>
        </w:p>
        <w:p w14:paraId="269240D7" w14:textId="5AF44B35" w:rsidR="000172D3" w:rsidRDefault="0010251C">
          <w:pPr>
            <w:pStyle w:val="TOC3"/>
            <w:rPr>
              <w:rFonts w:asciiTheme="minorHAnsi" w:eastAsiaTheme="minorEastAsia" w:hAnsiTheme="minorHAnsi"/>
              <w:noProof/>
              <w:color w:val="auto"/>
              <w:kern w:val="2"/>
              <w:sz w:val="24"/>
              <w:szCs w:val="24"/>
              <w:lang w:eastAsia="en-GB"/>
              <w14:ligatures w14:val="standardContextual"/>
            </w:rPr>
          </w:pPr>
          <w:hyperlink w:anchor="_Toc167437658" w:history="1">
            <w:r w:rsidR="000172D3" w:rsidRPr="00EA72B6">
              <w:rPr>
                <w:rStyle w:val="Hyperlink"/>
                <w:noProof/>
              </w:rPr>
              <w:t>Findings</w:t>
            </w:r>
            <w:r w:rsidR="000172D3">
              <w:rPr>
                <w:noProof/>
                <w:webHidden/>
              </w:rPr>
              <w:tab/>
            </w:r>
            <w:r w:rsidR="000172D3">
              <w:rPr>
                <w:noProof/>
                <w:webHidden/>
              </w:rPr>
              <w:fldChar w:fldCharType="begin"/>
            </w:r>
            <w:r w:rsidR="000172D3">
              <w:rPr>
                <w:noProof/>
                <w:webHidden/>
              </w:rPr>
              <w:instrText xml:space="preserve"> PAGEREF _Toc167437658 \h </w:instrText>
            </w:r>
            <w:r w:rsidR="000172D3">
              <w:rPr>
                <w:noProof/>
                <w:webHidden/>
              </w:rPr>
            </w:r>
            <w:r w:rsidR="000172D3">
              <w:rPr>
                <w:noProof/>
                <w:webHidden/>
              </w:rPr>
              <w:fldChar w:fldCharType="separate"/>
            </w:r>
            <w:r w:rsidR="000172D3">
              <w:rPr>
                <w:noProof/>
                <w:webHidden/>
              </w:rPr>
              <w:t>4</w:t>
            </w:r>
            <w:r w:rsidR="000172D3">
              <w:rPr>
                <w:noProof/>
                <w:webHidden/>
              </w:rPr>
              <w:fldChar w:fldCharType="end"/>
            </w:r>
          </w:hyperlink>
        </w:p>
        <w:p w14:paraId="53CE2F67" w14:textId="6013F529" w:rsidR="000172D3" w:rsidRDefault="0010251C">
          <w:pPr>
            <w:pStyle w:val="TOC1"/>
            <w:rPr>
              <w:rFonts w:asciiTheme="minorHAnsi" w:eastAsiaTheme="minorEastAsia" w:hAnsiTheme="minorHAnsi" w:cstheme="minorBidi"/>
              <w:b w:val="0"/>
              <w:color w:val="auto"/>
              <w:kern w:val="2"/>
              <w:szCs w:val="24"/>
              <w:lang w:eastAsia="en-GB"/>
              <w14:ligatures w14:val="standardContextual"/>
            </w:rPr>
          </w:pPr>
          <w:hyperlink w:anchor="_Toc167437659" w:history="1">
            <w:r w:rsidR="000172D3" w:rsidRPr="00EA72B6">
              <w:rPr>
                <w:rStyle w:val="Hyperlink"/>
              </w:rPr>
              <w:t>1.0</w:t>
            </w:r>
            <w:r w:rsidR="000172D3">
              <w:rPr>
                <w:rFonts w:asciiTheme="minorHAnsi" w:eastAsiaTheme="minorEastAsia" w:hAnsiTheme="minorHAnsi" w:cstheme="minorBidi"/>
                <w:b w:val="0"/>
                <w:color w:val="auto"/>
                <w:kern w:val="2"/>
                <w:szCs w:val="24"/>
                <w:lang w:eastAsia="en-GB"/>
                <w14:ligatures w14:val="standardContextual"/>
              </w:rPr>
              <w:tab/>
            </w:r>
            <w:r w:rsidR="000172D3" w:rsidRPr="00EA72B6">
              <w:rPr>
                <w:rStyle w:val="Hyperlink"/>
              </w:rPr>
              <w:t>Introduction</w:t>
            </w:r>
            <w:r w:rsidR="000172D3">
              <w:rPr>
                <w:webHidden/>
              </w:rPr>
              <w:tab/>
            </w:r>
            <w:r w:rsidR="000172D3">
              <w:rPr>
                <w:webHidden/>
              </w:rPr>
              <w:fldChar w:fldCharType="begin"/>
            </w:r>
            <w:r w:rsidR="000172D3">
              <w:rPr>
                <w:webHidden/>
              </w:rPr>
              <w:instrText xml:space="preserve"> PAGEREF _Toc167437659 \h </w:instrText>
            </w:r>
            <w:r w:rsidR="000172D3">
              <w:rPr>
                <w:webHidden/>
              </w:rPr>
            </w:r>
            <w:r w:rsidR="000172D3">
              <w:rPr>
                <w:webHidden/>
              </w:rPr>
              <w:fldChar w:fldCharType="separate"/>
            </w:r>
            <w:r w:rsidR="000172D3">
              <w:rPr>
                <w:webHidden/>
              </w:rPr>
              <w:t>7</w:t>
            </w:r>
            <w:r w:rsidR="000172D3">
              <w:rPr>
                <w:webHidden/>
              </w:rPr>
              <w:fldChar w:fldCharType="end"/>
            </w:r>
          </w:hyperlink>
        </w:p>
        <w:p w14:paraId="27FD5E35" w14:textId="57F60FB5" w:rsidR="000172D3" w:rsidRDefault="0010251C">
          <w:pPr>
            <w:pStyle w:val="TOC2"/>
            <w:rPr>
              <w:rFonts w:asciiTheme="minorHAnsi" w:eastAsiaTheme="minorEastAsia" w:hAnsiTheme="minorHAnsi" w:cstheme="minorBidi"/>
              <w:color w:val="auto"/>
              <w:kern w:val="2"/>
              <w:sz w:val="24"/>
              <w:szCs w:val="24"/>
              <w:lang w:eastAsia="en-GB"/>
              <w14:ligatures w14:val="standardContextual"/>
            </w:rPr>
          </w:pPr>
          <w:hyperlink w:anchor="_Toc167437660" w:history="1">
            <w:r w:rsidR="000172D3" w:rsidRPr="00EA72B6">
              <w:rPr>
                <w:rStyle w:val="Hyperlink"/>
              </w:rPr>
              <w:t>1.1</w:t>
            </w:r>
            <w:r w:rsidR="000172D3">
              <w:rPr>
                <w:rFonts w:asciiTheme="minorHAnsi" w:eastAsiaTheme="minorEastAsia" w:hAnsiTheme="minorHAnsi" w:cstheme="minorBidi"/>
                <w:color w:val="auto"/>
                <w:kern w:val="2"/>
                <w:sz w:val="24"/>
                <w:szCs w:val="24"/>
                <w:lang w:eastAsia="en-GB"/>
                <w14:ligatures w14:val="standardContextual"/>
              </w:rPr>
              <w:tab/>
            </w:r>
            <w:r w:rsidR="000172D3" w:rsidRPr="00EA72B6">
              <w:rPr>
                <w:rStyle w:val="Hyperlink"/>
              </w:rPr>
              <w:t>Project Overview</w:t>
            </w:r>
            <w:r w:rsidR="000172D3">
              <w:rPr>
                <w:webHidden/>
              </w:rPr>
              <w:tab/>
            </w:r>
            <w:r w:rsidR="000172D3">
              <w:rPr>
                <w:webHidden/>
              </w:rPr>
              <w:fldChar w:fldCharType="begin"/>
            </w:r>
            <w:r w:rsidR="000172D3">
              <w:rPr>
                <w:webHidden/>
              </w:rPr>
              <w:instrText xml:space="preserve"> PAGEREF _Toc167437660 \h </w:instrText>
            </w:r>
            <w:r w:rsidR="000172D3">
              <w:rPr>
                <w:webHidden/>
              </w:rPr>
            </w:r>
            <w:r w:rsidR="000172D3">
              <w:rPr>
                <w:webHidden/>
              </w:rPr>
              <w:fldChar w:fldCharType="separate"/>
            </w:r>
            <w:r w:rsidR="000172D3">
              <w:rPr>
                <w:webHidden/>
              </w:rPr>
              <w:t>7</w:t>
            </w:r>
            <w:r w:rsidR="000172D3">
              <w:rPr>
                <w:webHidden/>
              </w:rPr>
              <w:fldChar w:fldCharType="end"/>
            </w:r>
          </w:hyperlink>
        </w:p>
        <w:p w14:paraId="3E13DE49" w14:textId="5B286FB6" w:rsidR="000172D3" w:rsidRDefault="0010251C">
          <w:pPr>
            <w:pStyle w:val="TOC2"/>
            <w:rPr>
              <w:rFonts w:asciiTheme="minorHAnsi" w:eastAsiaTheme="minorEastAsia" w:hAnsiTheme="minorHAnsi" w:cstheme="minorBidi"/>
              <w:color w:val="auto"/>
              <w:kern w:val="2"/>
              <w:sz w:val="24"/>
              <w:szCs w:val="24"/>
              <w:lang w:eastAsia="en-GB"/>
              <w14:ligatures w14:val="standardContextual"/>
            </w:rPr>
          </w:pPr>
          <w:hyperlink w:anchor="_Toc167437661" w:history="1">
            <w:r w:rsidR="000172D3" w:rsidRPr="00EA72B6">
              <w:rPr>
                <w:rStyle w:val="Hyperlink"/>
              </w:rPr>
              <w:t>1.2</w:t>
            </w:r>
            <w:r w:rsidR="000172D3">
              <w:rPr>
                <w:rFonts w:asciiTheme="minorHAnsi" w:eastAsiaTheme="minorEastAsia" w:hAnsiTheme="minorHAnsi" w:cstheme="minorBidi"/>
                <w:color w:val="auto"/>
                <w:kern w:val="2"/>
                <w:sz w:val="24"/>
                <w:szCs w:val="24"/>
                <w:lang w:eastAsia="en-GB"/>
                <w14:ligatures w14:val="standardContextual"/>
              </w:rPr>
              <w:tab/>
            </w:r>
            <w:r w:rsidR="000172D3" w:rsidRPr="00EA72B6">
              <w:rPr>
                <w:rStyle w:val="Hyperlink"/>
              </w:rPr>
              <w:t>Methodology</w:t>
            </w:r>
            <w:r w:rsidR="000172D3">
              <w:rPr>
                <w:webHidden/>
              </w:rPr>
              <w:tab/>
            </w:r>
            <w:r w:rsidR="000172D3">
              <w:rPr>
                <w:webHidden/>
              </w:rPr>
              <w:fldChar w:fldCharType="begin"/>
            </w:r>
            <w:r w:rsidR="000172D3">
              <w:rPr>
                <w:webHidden/>
              </w:rPr>
              <w:instrText xml:space="preserve"> PAGEREF _Toc167437661 \h </w:instrText>
            </w:r>
            <w:r w:rsidR="000172D3">
              <w:rPr>
                <w:webHidden/>
              </w:rPr>
            </w:r>
            <w:r w:rsidR="000172D3">
              <w:rPr>
                <w:webHidden/>
              </w:rPr>
              <w:fldChar w:fldCharType="separate"/>
            </w:r>
            <w:r w:rsidR="000172D3">
              <w:rPr>
                <w:webHidden/>
              </w:rPr>
              <w:t>8</w:t>
            </w:r>
            <w:r w:rsidR="000172D3">
              <w:rPr>
                <w:webHidden/>
              </w:rPr>
              <w:fldChar w:fldCharType="end"/>
            </w:r>
          </w:hyperlink>
        </w:p>
        <w:p w14:paraId="1B4377DB" w14:textId="4FA4089F" w:rsidR="000172D3" w:rsidRDefault="0010251C">
          <w:pPr>
            <w:pStyle w:val="TOC3"/>
            <w:rPr>
              <w:rFonts w:asciiTheme="minorHAnsi" w:eastAsiaTheme="minorEastAsia" w:hAnsiTheme="minorHAnsi"/>
              <w:noProof/>
              <w:color w:val="auto"/>
              <w:kern w:val="2"/>
              <w:sz w:val="24"/>
              <w:szCs w:val="24"/>
              <w:lang w:eastAsia="en-GB"/>
              <w14:ligatures w14:val="standardContextual"/>
            </w:rPr>
          </w:pPr>
          <w:hyperlink w:anchor="_Toc167437662" w:history="1">
            <w:r w:rsidR="000172D3" w:rsidRPr="00EA72B6">
              <w:rPr>
                <w:rStyle w:val="Hyperlink"/>
                <w:noProof/>
              </w:rPr>
              <w:t>1.2.1</w:t>
            </w:r>
            <w:r w:rsidR="000172D3">
              <w:rPr>
                <w:rFonts w:asciiTheme="minorHAnsi" w:eastAsiaTheme="minorEastAsia" w:hAnsiTheme="minorHAnsi"/>
                <w:noProof/>
                <w:color w:val="auto"/>
                <w:kern w:val="2"/>
                <w:sz w:val="24"/>
                <w:szCs w:val="24"/>
                <w:lang w:eastAsia="en-GB"/>
                <w14:ligatures w14:val="standardContextual"/>
              </w:rPr>
              <w:tab/>
            </w:r>
            <w:r w:rsidR="000172D3" w:rsidRPr="00EA72B6">
              <w:rPr>
                <w:rStyle w:val="Hyperlink"/>
                <w:noProof/>
              </w:rPr>
              <w:t>Rapid Evidence Assessments</w:t>
            </w:r>
            <w:r w:rsidR="000172D3">
              <w:rPr>
                <w:noProof/>
                <w:webHidden/>
              </w:rPr>
              <w:tab/>
            </w:r>
            <w:r w:rsidR="000172D3">
              <w:rPr>
                <w:noProof/>
                <w:webHidden/>
              </w:rPr>
              <w:fldChar w:fldCharType="begin"/>
            </w:r>
            <w:r w:rsidR="000172D3">
              <w:rPr>
                <w:noProof/>
                <w:webHidden/>
              </w:rPr>
              <w:instrText xml:space="preserve"> PAGEREF _Toc167437662 \h </w:instrText>
            </w:r>
            <w:r w:rsidR="000172D3">
              <w:rPr>
                <w:noProof/>
                <w:webHidden/>
              </w:rPr>
            </w:r>
            <w:r w:rsidR="000172D3">
              <w:rPr>
                <w:noProof/>
                <w:webHidden/>
              </w:rPr>
              <w:fldChar w:fldCharType="separate"/>
            </w:r>
            <w:r w:rsidR="000172D3">
              <w:rPr>
                <w:noProof/>
                <w:webHidden/>
              </w:rPr>
              <w:t>8</w:t>
            </w:r>
            <w:r w:rsidR="000172D3">
              <w:rPr>
                <w:noProof/>
                <w:webHidden/>
              </w:rPr>
              <w:fldChar w:fldCharType="end"/>
            </w:r>
          </w:hyperlink>
        </w:p>
        <w:p w14:paraId="0659BE2A" w14:textId="68EAC19C" w:rsidR="000172D3" w:rsidRDefault="0010251C">
          <w:pPr>
            <w:pStyle w:val="TOC3"/>
            <w:rPr>
              <w:rFonts w:asciiTheme="minorHAnsi" w:eastAsiaTheme="minorEastAsia" w:hAnsiTheme="minorHAnsi"/>
              <w:noProof/>
              <w:color w:val="auto"/>
              <w:kern w:val="2"/>
              <w:sz w:val="24"/>
              <w:szCs w:val="24"/>
              <w:lang w:eastAsia="en-GB"/>
              <w14:ligatures w14:val="standardContextual"/>
            </w:rPr>
          </w:pPr>
          <w:hyperlink w:anchor="_Toc167437663" w:history="1">
            <w:r w:rsidR="000172D3" w:rsidRPr="00EA72B6">
              <w:rPr>
                <w:rStyle w:val="Hyperlink"/>
                <w:noProof/>
              </w:rPr>
              <w:t>1.2.2</w:t>
            </w:r>
            <w:r w:rsidR="000172D3">
              <w:rPr>
                <w:rFonts w:asciiTheme="minorHAnsi" w:eastAsiaTheme="minorEastAsia" w:hAnsiTheme="minorHAnsi"/>
                <w:noProof/>
                <w:color w:val="auto"/>
                <w:kern w:val="2"/>
                <w:sz w:val="24"/>
                <w:szCs w:val="24"/>
                <w:lang w:eastAsia="en-GB"/>
                <w14:ligatures w14:val="standardContextual"/>
              </w:rPr>
              <w:tab/>
            </w:r>
            <w:r w:rsidR="000172D3" w:rsidRPr="00EA72B6">
              <w:rPr>
                <w:rStyle w:val="Hyperlink"/>
                <w:noProof/>
              </w:rPr>
              <w:t>Primary qualitative research</w:t>
            </w:r>
            <w:r w:rsidR="000172D3">
              <w:rPr>
                <w:noProof/>
                <w:webHidden/>
              </w:rPr>
              <w:tab/>
            </w:r>
            <w:r w:rsidR="000172D3">
              <w:rPr>
                <w:noProof/>
                <w:webHidden/>
              </w:rPr>
              <w:fldChar w:fldCharType="begin"/>
            </w:r>
            <w:r w:rsidR="000172D3">
              <w:rPr>
                <w:noProof/>
                <w:webHidden/>
              </w:rPr>
              <w:instrText xml:space="preserve"> PAGEREF _Toc167437663 \h </w:instrText>
            </w:r>
            <w:r w:rsidR="000172D3">
              <w:rPr>
                <w:noProof/>
                <w:webHidden/>
              </w:rPr>
            </w:r>
            <w:r w:rsidR="000172D3">
              <w:rPr>
                <w:noProof/>
                <w:webHidden/>
              </w:rPr>
              <w:fldChar w:fldCharType="separate"/>
            </w:r>
            <w:r w:rsidR="000172D3">
              <w:rPr>
                <w:noProof/>
                <w:webHidden/>
              </w:rPr>
              <w:t>8</w:t>
            </w:r>
            <w:r w:rsidR="000172D3">
              <w:rPr>
                <w:noProof/>
                <w:webHidden/>
              </w:rPr>
              <w:fldChar w:fldCharType="end"/>
            </w:r>
          </w:hyperlink>
        </w:p>
        <w:p w14:paraId="3BE10E2D" w14:textId="3FE52522" w:rsidR="000172D3" w:rsidRDefault="0010251C">
          <w:pPr>
            <w:pStyle w:val="TOC3"/>
            <w:rPr>
              <w:rFonts w:asciiTheme="minorHAnsi" w:eastAsiaTheme="minorEastAsia" w:hAnsiTheme="minorHAnsi"/>
              <w:noProof/>
              <w:color w:val="auto"/>
              <w:kern w:val="2"/>
              <w:sz w:val="24"/>
              <w:szCs w:val="24"/>
              <w:lang w:eastAsia="en-GB"/>
              <w14:ligatures w14:val="standardContextual"/>
            </w:rPr>
          </w:pPr>
          <w:hyperlink w:anchor="_Toc167437664" w:history="1">
            <w:r w:rsidR="000172D3" w:rsidRPr="00EA72B6">
              <w:rPr>
                <w:rStyle w:val="Hyperlink"/>
                <w:noProof/>
              </w:rPr>
              <w:t>1.2.3</w:t>
            </w:r>
            <w:r w:rsidR="000172D3">
              <w:rPr>
                <w:rFonts w:asciiTheme="minorHAnsi" w:eastAsiaTheme="minorEastAsia" w:hAnsiTheme="minorHAnsi"/>
                <w:noProof/>
                <w:color w:val="auto"/>
                <w:kern w:val="2"/>
                <w:sz w:val="24"/>
                <w:szCs w:val="24"/>
                <w:lang w:eastAsia="en-GB"/>
                <w14:ligatures w14:val="standardContextual"/>
              </w:rPr>
              <w:tab/>
            </w:r>
            <w:r w:rsidR="000172D3" w:rsidRPr="00EA72B6">
              <w:rPr>
                <w:rStyle w:val="Hyperlink"/>
                <w:noProof/>
              </w:rPr>
              <w:t>Limitations</w:t>
            </w:r>
            <w:r w:rsidR="000172D3">
              <w:rPr>
                <w:noProof/>
                <w:webHidden/>
              </w:rPr>
              <w:tab/>
            </w:r>
            <w:r w:rsidR="000172D3">
              <w:rPr>
                <w:noProof/>
                <w:webHidden/>
              </w:rPr>
              <w:fldChar w:fldCharType="begin"/>
            </w:r>
            <w:r w:rsidR="000172D3">
              <w:rPr>
                <w:noProof/>
                <w:webHidden/>
              </w:rPr>
              <w:instrText xml:space="preserve"> PAGEREF _Toc167437664 \h </w:instrText>
            </w:r>
            <w:r w:rsidR="000172D3">
              <w:rPr>
                <w:noProof/>
                <w:webHidden/>
              </w:rPr>
            </w:r>
            <w:r w:rsidR="000172D3">
              <w:rPr>
                <w:noProof/>
                <w:webHidden/>
              </w:rPr>
              <w:fldChar w:fldCharType="separate"/>
            </w:r>
            <w:r w:rsidR="000172D3">
              <w:rPr>
                <w:noProof/>
                <w:webHidden/>
              </w:rPr>
              <w:t>9</w:t>
            </w:r>
            <w:r w:rsidR="000172D3">
              <w:rPr>
                <w:noProof/>
                <w:webHidden/>
              </w:rPr>
              <w:fldChar w:fldCharType="end"/>
            </w:r>
          </w:hyperlink>
        </w:p>
        <w:p w14:paraId="43E9A1AC" w14:textId="19ED3293" w:rsidR="000172D3" w:rsidRDefault="0010251C">
          <w:pPr>
            <w:pStyle w:val="TOC2"/>
            <w:rPr>
              <w:rFonts w:asciiTheme="minorHAnsi" w:eastAsiaTheme="minorEastAsia" w:hAnsiTheme="minorHAnsi" w:cstheme="minorBidi"/>
              <w:color w:val="auto"/>
              <w:kern w:val="2"/>
              <w:sz w:val="24"/>
              <w:szCs w:val="24"/>
              <w:lang w:eastAsia="en-GB"/>
              <w14:ligatures w14:val="standardContextual"/>
            </w:rPr>
          </w:pPr>
          <w:hyperlink w:anchor="_Toc167437665" w:history="1">
            <w:r w:rsidR="000172D3" w:rsidRPr="00EA72B6">
              <w:rPr>
                <w:rStyle w:val="Hyperlink"/>
              </w:rPr>
              <w:t>1.3</w:t>
            </w:r>
            <w:r w:rsidR="000172D3">
              <w:rPr>
                <w:rFonts w:asciiTheme="minorHAnsi" w:eastAsiaTheme="minorEastAsia" w:hAnsiTheme="minorHAnsi" w:cstheme="minorBidi"/>
                <w:color w:val="auto"/>
                <w:kern w:val="2"/>
                <w:sz w:val="24"/>
                <w:szCs w:val="24"/>
                <w:lang w:eastAsia="en-GB"/>
                <w14:ligatures w14:val="standardContextual"/>
              </w:rPr>
              <w:tab/>
            </w:r>
            <w:r w:rsidR="000172D3" w:rsidRPr="00EA72B6">
              <w:rPr>
                <w:rStyle w:val="Hyperlink"/>
              </w:rPr>
              <w:t>Report Structure</w:t>
            </w:r>
            <w:r w:rsidR="000172D3">
              <w:rPr>
                <w:webHidden/>
              </w:rPr>
              <w:tab/>
            </w:r>
            <w:r w:rsidR="000172D3">
              <w:rPr>
                <w:webHidden/>
              </w:rPr>
              <w:fldChar w:fldCharType="begin"/>
            </w:r>
            <w:r w:rsidR="000172D3">
              <w:rPr>
                <w:webHidden/>
              </w:rPr>
              <w:instrText xml:space="preserve"> PAGEREF _Toc167437665 \h </w:instrText>
            </w:r>
            <w:r w:rsidR="000172D3">
              <w:rPr>
                <w:webHidden/>
              </w:rPr>
            </w:r>
            <w:r w:rsidR="000172D3">
              <w:rPr>
                <w:webHidden/>
              </w:rPr>
              <w:fldChar w:fldCharType="separate"/>
            </w:r>
            <w:r w:rsidR="000172D3">
              <w:rPr>
                <w:webHidden/>
              </w:rPr>
              <w:t>10</w:t>
            </w:r>
            <w:r w:rsidR="000172D3">
              <w:rPr>
                <w:webHidden/>
              </w:rPr>
              <w:fldChar w:fldCharType="end"/>
            </w:r>
          </w:hyperlink>
        </w:p>
        <w:p w14:paraId="74EC2EB4" w14:textId="09796D98" w:rsidR="000172D3" w:rsidRDefault="0010251C">
          <w:pPr>
            <w:pStyle w:val="TOC1"/>
            <w:rPr>
              <w:rFonts w:asciiTheme="minorHAnsi" w:eastAsiaTheme="minorEastAsia" w:hAnsiTheme="minorHAnsi" w:cstheme="minorBidi"/>
              <w:b w:val="0"/>
              <w:color w:val="auto"/>
              <w:kern w:val="2"/>
              <w:szCs w:val="24"/>
              <w:lang w:eastAsia="en-GB"/>
              <w14:ligatures w14:val="standardContextual"/>
            </w:rPr>
          </w:pPr>
          <w:hyperlink w:anchor="_Toc167437666" w:history="1">
            <w:r w:rsidR="000172D3" w:rsidRPr="00EA72B6">
              <w:rPr>
                <w:rStyle w:val="Hyperlink"/>
              </w:rPr>
              <w:t>2.0</w:t>
            </w:r>
            <w:r w:rsidR="000172D3">
              <w:rPr>
                <w:rFonts w:asciiTheme="minorHAnsi" w:eastAsiaTheme="minorEastAsia" w:hAnsiTheme="minorHAnsi" w:cstheme="minorBidi"/>
                <w:b w:val="0"/>
                <w:color w:val="auto"/>
                <w:kern w:val="2"/>
                <w:szCs w:val="24"/>
                <w:lang w:eastAsia="en-GB"/>
                <w14:ligatures w14:val="standardContextual"/>
              </w:rPr>
              <w:tab/>
            </w:r>
            <w:r w:rsidR="000172D3" w:rsidRPr="00EA72B6">
              <w:rPr>
                <w:rStyle w:val="Hyperlink"/>
              </w:rPr>
              <w:t>What factors local government commissioners consider</w:t>
            </w:r>
            <w:r w:rsidR="000172D3">
              <w:rPr>
                <w:webHidden/>
              </w:rPr>
              <w:tab/>
            </w:r>
            <w:r w:rsidR="000172D3">
              <w:rPr>
                <w:webHidden/>
              </w:rPr>
              <w:fldChar w:fldCharType="begin"/>
            </w:r>
            <w:r w:rsidR="000172D3">
              <w:rPr>
                <w:webHidden/>
              </w:rPr>
              <w:instrText xml:space="preserve"> PAGEREF _Toc167437666 \h </w:instrText>
            </w:r>
            <w:r w:rsidR="000172D3">
              <w:rPr>
                <w:webHidden/>
              </w:rPr>
            </w:r>
            <w:r w:rsidR="000172D3">
              <w:rPr>
                <w:webHidden/>
              </w:rPr>
              <w:fldChar w:fldCharType="separate"/>
            </w:r>
            <w:r w:rsidR="000172D3">
              <w:rPr>
                <w:webHidden/>
              </w:rPr>
              <w:t>11</w:t>
            </w:r>
            <w:r w:rsidR="000172D3">
              <w:rPr>
                <w:webHidden/>
              </w:rPr>
              <w:fldChar w:fldCharType="end"/>
            </w:r>
          </w:hyperlink>
        </w:p>
        <w:p w14:paraId="23C8ACD3" w14:textId="67840BD3" w:rsidR="000172D3" w:rsidRDefault="0010251C">
          <w:pPr>
            <w:pStyle w:val="TOC2"/>
            <w:rPr>
              <w:rFonts w:asciiTheme="minorHAnsi" w:eastAsiaTheme="minorEastAsia" w:hAnsiTheme="minorHAnsi" w:cstheme="minorBidi"/>
              <w:color w:val="auto"/>
              <w:kern w:val="2"/>
              <w:sz w:val="24"/>
              <w:szCs w:val="24"/>
              <w:lang w:eastAsia="en-GB"/>
              <w14:ligatures w14:val="standardContextual"/>
            </w:rPr>
          </w:pPr>
          <w:hyperlink w:anchor="_Toc167437667" w:history="1">
            <w:r w:rsidR="000172D3" w:rsidRPr="00EA72B6">
              <w:rPr>
                <w:rStyle w:val="Hyperlink"/>
              </w:rPr>
              <w:t>2.1</w:t>
            </w:r>
            <w:r w:rsidR="000172D3">
              <w:rPr>
                <w:rFonts w:asciiTheme="minorHAnsi" w:eastAsiaTheme="minorEastAsia" w:hAnsiTheme="minorHAnsi" w:cstheme="minorBidi"/>
                <w:color w:val="auto"/>
                <w:kern w:val="2"/>
                <w:sz w:val="24"/>
                <w:szCs w:val="24"/>
                <w:lang w:eastAsia="en-GB"/>
                <w14:ligatures w14:val="standardContextual"/>
              </w:rPr>
              <w:tab/>
            </w:r>
            <w:r w:rsidR="000172D3" w:rsidRPr="00EA72B6">
              <w:rPr>
                <w:rStyle w:val="Hyperlink"/>
              </w:rPr>
              <w:t>Political factors</w:t>
            </w:r>
            <w:r w:rsidR="000172D3">
              <w:rPr>
                <w:webHidden/>
              </w:rPr>
              <w:tab/>
            </w:r>
            <w:r w:rsidR="000172D3">
              <w:rPr>
                <w:webHidden/>
              </w:rPr>
              <w:fldChar w:fldCharType="begin"/>
            </w:r>
            <w:r w:rsidR="000172D3">
              <w:rPr>
                <w:webHidden/>
              </w:rPr>
              <w:instrText xml:space="preserve"> PAGEREF _Toc167437667 \h </w:instrText>
            </w:r>
            <w:r w:rsidR="000172D3">
              <w:rPr>
                <w:webHidden/>
              </w:rPr>
            </w:r>
            <w:r w:rsidR="000172D3">
              <w:rPr>
                <w:webHidden/>
              </w:rPr>
              <w:fldChar w:fldCharType="separate"/>
            </w:r>
            <w:r w:rsidR="000172D3">
              <w:rPr>
                <w:webHidden/>
              </w:rPr>
              <w:t>11</w:t>
            </w:r>
            <w:r w:rsidR="000172D3">
              <w:rPr>
                <w:webHidden/>
              </w:rPr>
              <w:fldChar w:fldCharType="end"/>
            </w:r>
          </w:hyperlink>
        </w:p>
        <w:p w14:paraId="649AD0D3" w14:textId="16FC96B7" w:rsidR="000172D3" w:rsidRDefault="0010251C">
          <w:pPr>
            <w:pStyle w:val="TOC2"/>
            <w:rPr>
              <w:rFonts w:asciiTheme="minorHAnsi" w:eastAsiaTheme="minorEastAsia" w:hAnsiTheme="minorHAnsi" w:cstheme="minorBidi"/>
              <w:color w:val="auto"/>
              <w:kern w:val="2"/>
              <w:sz w:val="24"/>
              <w:szCs w:val="24"/>
              <w:lang w:eastAsia="en-GB"/>
              <w14:ligatures w14:val="standardContextual"/>
            </w:rPr>
          </w:pPr>
          <w:hyperlink w:anchor="_Toc167437668" w:history="1">
            <w:r w:rsidR="000172D3" w:rsidRPr="00EA72B6">
              <w:rPr>
                <w:rStyle w:val="Hyperlink"/>
              </w:rPr>
              <w:t>2.2</w:t>
            </w:r>
            <w:r w:rsidR="000172D3">
              <w:rPr>
                <w:rFonts w:asciiTheme="minorHAnsi" w:eastAsiaTheme="minorEastAsia" w:hAnsiTheme="minorHAnsi" w:cstheme="minorBidi"/>
                <w:color w:val="auto"/>
                <w:kern w:val="2"/>
                <w:sz w:val="24"/>
                <w:szCs w:val="24"/>
                <w:lang w:eastAsia="en-GB"/>
                <w14:ligatures w14:val="standardContextual"/>
              </w:rPr>
              <w:tab/>
            </w:r>
            <w:r w:rsidR="000172D3" w:rsidRPr="00EA72B6">
              <w:rPr>
                <w:rStyle w:val="Hyperlink"/>
              </w:rPr>
              <w:t>Economic factors</w:t>
            </w:r>
            <w:r w:rsidR="000172D3">
              <w:rPr>
                <w:webHidden/>
              </w:rPr>
              <w:tab/>
            </w:r>
            <w:r w:rsidR="000172D3">
              <w:rPr>
                <w:webHidden/>
              </w:rPr>
              <w:fldChar w:fldCharType="begin"/>
            </w:r>
            <w:r w:rsidR="000172D3">
              <w:rPr>
                <w:webHidden/>
              </w:rPr>
              <w:instrText xml:space="preserve"> PAGEREF _Toc167437668 \h </w:instrText>
            </w:r>
            <w:r w:rsidR="000172D3">
              <w:rPr>
                <w:webHidden/>
              </w:rPr>
            </w:r>
            <w:r w:rsidR="000172D3">
              <w:rPr>
                <w:webHidden/>
              </w:rPr>
              <w:fldChar w:fldCharType="separate"/>
            </w:r>
            <w:r w:rsidR="000172D3">
              <w:rPr>
                <w:webHidden/>
              </w:rPr>
              <w:t>12</w:t>
            </w:r>
            <w:r w:rsidR="000172D3">
              <w:rPr>
                <w:webHidden/>
              </w:rPr>
              <w:fldChar w:fldCharType="end"/>
            </w:r>
          </w:hyperlink>
        </w:p>
        <w:p w14:paraId="224A1502" w14:textId="42692FA8" w:rsidR="000172D3" w:rsidRDefault="0010251C">
          <w:pPr>
            <w:pStyle w:val="TOC2"/>
            <w:rPr>
              <w:rFonts w:asciiTheme="minorHAnsi" w:eastAsiaTheme="minorEastAsia" w:hAnsiTheme="minorHAnsi" w:cstheme="minorBidi"/>
              <w:color w:val="auto"/>
              <w:kern w:val="2"/>
              <w:sz w:val="24"/>
              <w:szCs w:val="24"/>
              <w:lang w:eastAsia="en-GB"/>
              <w14:ligatures w14:val="standardContextual"/>
            </w:rPr>
          </w:pPr>
          <w:hyperlink w:anchor="_Toc167437669" w:history="1">
            <w:r w:rsidR="000172D3" w:rsidRPr="00EA72B6">
              <w:rPr>
                <w:rStyle w:val="Hyperlink"/>
              </w:rPr>
              <w:t>2.3</w:t>
            </w:r>
            <w:r w:rsidR="000172D3">
              <w:rPr>
                <w:rFonts w:asciiTheme="minorHAnsi" w:eastAsiaTheme="minorEastAsia" w:hAnsiTheme="minorHAnsi" w:cstheme="minorBidi"/>
                <w:color w:val="auto"/>
                <w:kern w:val="2"/>
                <w:sz w:val="24"/>
                <w:szCs w:val="24"/>
                <w:lang w:eastAsia="en-GB"/>
                <w14:ligatures w14:val="standardContextual"/>
              </w:rPr>
              <w:tab/>
            </w:r>
            <w:r w:rsidR="000172D3" w:rsidRPr="00EA72B6">
              <w:rPr>
                <w:rStyle w:val="Hyperlink"/>
              </w:rPr>
              <w:t>Sociological factors</w:t>
            </w:r>
            <w:r w:rsidR="000172D3">
              <w:rPr>
                <w:webHidden/>
              </w:rPr>
              <w:tab/>
            </w:r>
            <w:r w:rsidR="000172D3">
              <w:rPr>
                <w:webHidden/>
              </w:rPr>
              <w:fldChar w:fldCharType="begin"/>
            </w:r>
            <w:r w:rsidR="000172D3">
              <w:rPr>
                <w:webHidden/>
              </w:rPr>
              <w:instrText xml:space="preserve"> PAGEREF _Toc167437669 \h </w:instrText>
            </w:r>
            <w:r w:rsidR="000172D3">
              <w:rPr>
                <w:webHidden/>
              </w:rPr>
            </w:r>
            <w:r w:rsidR="000172D3">
              <w:rPr>
                <w:webHidden/>
              </w:rPr>
              <w:fldChar w:fldCharType="separate"/>
            </w:r>
            <w:r w:rsidR="000172D3">
              <w:rPr>
                <w:webHidden/>
              </w:rPr>
              <w:t>14</w:t>
            </w:r>
            <w:r w:rsidR="000172D3">
              <w:rPr>
                <w:webHidden/>
              </w:rPr>
              <w:fldChar w:fldCharType="end"/>
            </w:r>
          </w:hyperlink>
        </w:p>
        <w:p w14:paraId="0F14A5DA" w14:textId="2DA4B8F4" w:rsidR="000172D3" w:rsidRDefault="0010251C">
          <w:pPr>
            <w:pStyle w:val="TOC2"/>
            <w:rPr>
              <w:rFonts w:asciiTheme="minorHAnsi" w:eastAsiaTheme="minorEastAsia" w:hAnsiTheme="minorHAnsi" w:cstheme="minorBidi"/>
              <w:color w:val="auto"/>
              <w:kern w:val="2"/>
              <w:sz w:val="24"/>
              <w:szCs w:val="24"/>
              <w:lang w:eastAsia="en-GB"/>
              <w14:ligatures w14:val="standardContextual"/>
            </w:rPr>
          </w:pPr>
          <w:hyperlink w:anchor="_Toc167437670" w:history="1">
            <w:r w:rsidR="000172D3" w:rsidRPr="00EA72B6">
              <w:rPr>
                <w:rStyle w:val="Hyperlink"/>
              </w:rPr>
              <w:t>2.4</w:t>
            </w:r>
            <w:r w:rsidR="000172D3">
              <w:rPr>
                <w:rFonts w:asciiTheme="minorHAnsi" w:eastAsiaTheme="minorEastAsia" w:hAnsiTheme="minorHAnsi" w:cstheme="minorBidi"/>
                <w:color w:val="auto"/>
                <w:kern w:val="2"/>
                <w:sz w:val="24"/>
                <w:szCs w:val="24"/>
                <w:lang w:eastAsia="en-GB"/>
                <w14:ligatures w14:val="standardContextual"/>
              </w:rPr>
              <w:tab/>
            </w:r>
            <w:r w:rsidR="000172D3" w:rsidRPr="00EA72B6">
              <w:rPr>
                <w:rStyle w:val="Hyperlink"/>
              </w:rPr>
              <w:t>Technological factors</w:t>
            </w:r>
            <w:r w:rsidR="000172D3">
              <w:rPr>
                <w:webHidden/>
              </w:rPr>
              <w:tab/>
            </w:r>
            <w:r w:rsidR="000172D3">
              <w:rPr>
                <w:webHidden/>
              </w:rPr>
              <w:fldChar w:fldCharType="begin"/>
            </w:r>
            <w:r w:rsidR="000172D3">
              <w:rPr>
                <w:webHidden/>
              </w:rPr>
              <w:instrText xml:space="preserve"> PAGEREF _Toc167437670 \h </w:instrText>
            </w:r>
            <w:r w:rsidR="000172D3">
              <w:rPr>
                <w:webHidden/>
              </w:rPr>
            </w:r>
            <w:r w:rsidR="000172D3">
              <w:rPr>
                <w:webHidden/>
              </w:rPr>
              <w:fldChar w:fldCharType="separate"/>
            </w:r>
            <w:r w:rsidR="000172D3">
              <w:rPr>
                <w:webHidden/>
              </w:rPr>
              <w:t>15</w:t>
            </w:r>
            <w:r w:rsidR="000172D3">
              <w:rPr>
                <w:webHidden/>
              </w:rPr>
              <w:fldChar w:fldCharType="end"/>
            </w:r>
          </w:hyperlink>
        </w:p>
        <w:p w14:paraId="262B518C" w14:textId="3C2CC652" w:rsidR="000172D3" w:rsidRDefault="0010251C">
          <w:pPr>
            <w:pStyle w:val="TOC2"/>
            <w:rPr>
              <w:rFonts w:asciiTheme="minorHAnsi" w:eastAsiaTheme="minorEastAsia" w:hAnsiTheme="minorHAnsi" w:cstheme="minorBidi"/>
              <w:color w:val="auto"/>
              <w:kern w:val="2"/>
              <w:sz w:val="24"/>
              <w:szCs w:val="24"/>
              <w:lang w:eastAsia="en-GB"/>
              <w14:ligatures w14:val="standardContextual"/>
            </w:rPr>
          </w:pPr>
          <w:hyperlink w:anchor="_Toc167437671" w:history="1">
            <w:r w:rsidR="000172D3" w:rsidRPr="00EA72B6">
              <w:rPr>
                <w:rStyle w:val="Hyperlink"/>
              </w:rPr>
              <w:t>2.5</w:t>
            </w:r>
            <w:r w:rsidR="000172D3">
              <w:rPr>
                <w:rFonts w:asciiTheme="minorHAnsi" w:eastAsiaTheme="minorEastAsia" w:hAnsiTheme="minorHAnsi" w:cstheme="minorBidi"/>
                <w:color w:val="auto"/>
                <w:kern w:val="2"/>
                <w:sz w:val="24"/>
                <w:szCs w:val="24"/>
                <w:lang w:eastAsia="en-GB"/>
                <w14:ligatures w14:val="standardContextual"/>
              </w:rPr>
              <w:tab/>
            </w:r>
            <w:r w:rsidR="000172D3" w:rsidRPr="00EA72B6">
              <w:rPr>
                <w:rStyle w:val="Hyperlink"/>
              </w:rPr>
              <w:t>Legal factors</w:t>
            </w:r>
            <w:r w:rsidR="000172D3">
              <w:rPr>
                <w:webHidden/>
              </w:rPr>
              <w:tab/>
            </w:r>
            <w:r w:rsidR="000172D3">
              <w:rPr>
                <w:webHidden/>
              </w:rPr>
              <w:fldChar w:fldCharType="begin"/>
            </w:r>
            <w:r w:rsidR="000172D3">
              <w:rPr>
                <w:webHidden/>
              </w:rPr>
              <w:instrText xml:space="preserve"> PAGEREF _Toc167437671 \h </w:instrText>
            </w:r>
            <w:r w:rsidR="000172D3">
              <w:rPr>
                <w:webHidden/>
              </w:rPr>
            </w:r>
            <w:r w:rsidR="000172D3">
              <w:rPr>
                <w:webHidden/>
              </w:rPr>
              <w:fldChar w:fldCharType="separate"/>
            </w:r>
            <w:r w:rsidR="000172D3">
              <w:rPr>
                <w:webHidden/>
              </w:rPr>
              <w:t>16</w:t>
            </w:r>
            <w:r w:rsidR="000172D3">
              <w:rPr>
                <w:webHidden/>
              </w:rPr>
              <w:fldChar w:fldCharType="end"/>
            </w:r>
          </w:hyperlink>
        </w:p>
        <w:p w14:paraId="66E427EC" w14:textId="74BB039C" w:rsidR="000172D3" w:rsidRDefault="0010251C">
          <w:pPr>
            <w:pStyle w:val="TOC2"/>
            <w:rPr>
              <w:rFonts w:asciiTheme="minorHAnsi" w:eastAsiaTheme="minorEastAsia" w:hAnsiTheme="minorHAnsi" w:cstheme="minorBidi"/>
              <w:color w:val="auto"/>
              <w:kern w:val="2"/>
              <w:sz w:val="24"/>
              <w:szCs w:val="24"/>
              <w:lang w:eastAsia="en-GB"/>
              <w14:ligatures w14:val="standardContextual"/>
            </w:rPr>
          </w:pPr>
          <w:hyperlink w:anchor="_Toc167437672" w:history="1">
            <w:r w:rsidR="000172D3" w:rsidRPr="00EA72B6">
              <w:rPr>
                <w:rStyle w:val="Hyperlink"/>
              </w:rPr>
              <w:t>2.6</w:t>
            </w:r>
            <w:r w:rsidR="000172D3">
              <w:rPr>
                <w:rFonts w:asciiTheme="minorHAnsi" w:eastAsiaTheme="minorEastAsia" w:hAnsiTheme="minorHAnsi" w:cstheme="minorBidi"/>
                <w:color w:val="auto"/>
                <w:kern w:val="2"/>
                <w:sz w:val="24"/>
                <w:szCs w:val="24"/>
                <w:lang w:eastAsia="en-GB"/>
                <w14:ligatures w14:val="standardContextual"/>
              </w:rPr>
              <w:tab/>
            </w:r>
            <w:r w:rsidR="000172D3" w:rsidRPr="00EA72B6">
              <w:rPr>
                <w:rStyle w:val="Hyperlink"/>
              </w:rPr>
              <w:t>Environmental factors</w:t>
            </w:r>
            <w:r w:rsidR="000172D3">
              <w:rPr>
                <w:webHidden/>
              </w:rPr>
              <w:tab/>
            </w:r>
            <w:r w:rsidR="000172D3">
              <w:rPr>
                <w:webHidden/>
              </w:rPr>
              <w:fldChar w:fldCharType="begin"/>
            </w:r>
            <w:r w:rsidR="000172D3">
              <w:rPr>
                <w:webHidden/>
              </w:rPr>
              <w:instrText xml:space="preserve"> PAGEREF _Toc167437672 \h </w:instrText>
            </w:r>
            <w:r w:rsidR="000172D3">
              <w:rPr>
                <w:webHidden/>
              </w:rPr>
            </w:r>
            <w:r w:rsidR="000172D3">
              <w:rPr>
                <w:webHidden/>
              </w:rPr>
              <w:fldChar w:fldCharType="separate"/>
            </w:r>
            <w:r w:rsidR="000172D3">
              <w:rPr>
                <w:webHidden/>
              </w:rPr>
              <w:t>18</w:t>
            </w:r>
            <w:r w:rsidR="000172D3">
              <w:rPr>
                <w:webHidden/>
              </w:rPr>
              <w:fldChar w:fldCharType="end"/>
            </w:r>
          </w:hyperlink>
        </w:p>
        <w:p w14:paraId="59DC6E30" w14:textId="48499A35" w:rsidR="000172D3" w:rsidRDefault="0010251C">
          <w:pPr>
            <w:pStyle w:val="TOC2"/>
            <w:rPr>
              <w:rFonts w:asciiTheme="minorHAnsi" w:eastAsiaTheme="minorEastAsia" w:hAnsiTheme="minorHAnsi" w:cstheme="minorBidi"/>
              <w:color w:val="auto"/>
              <w:kern w:val="2"/>
              <w:sz w:val="24"/>
              <w:szCs w:val="24"/>
              <w:lang w:eastAsia="en-GB"/>
              <w14:ligatures w14:val="standardContextual"/>
            </w:rPr>
          </w:pPr>
          <w:hyperlink w:anchor="_Toc167437673" w:history="1">
            <w:r w:rsidR="000172D3" w:rsidRPr="00EA72B6">
              <w:rPr>
                <w:rStyle w:val="Hyperlink"/>
              </w:rPr>
              <w:t>2.7</w:t>
            </w:r>
            <w:r w:rsidR="000172D3">
              <w:rPr>
                <w:rFonts w:asciiTheme="minorHAnsi" w:eastAsiaTheme="minorEastAsia" w:hAnsiTheme="minorHAnsi" w:cstheme="minorBidi"/>
                <w:color w:val="auto"/>
                <w:kern w:val="2"/>
                <w:sz w:val="24"/>
                <w:szCs w:val="24"/>
                <w:lang w:eastAsia="en-GB"/>
                <w14:ligatures w14:val="standardContextual"/>
              </w:rPr>
              <w:tab/>
            </w:r>
            <w:r w:rsidR="000172D3" w:rsidRPr="00EA72B6">
              <w:rPr>
                <w:rStyle w:val="Hyperlink"/>
              </w:rPr>
              <w:t>Other factors</w:t>
            </w:r>
            <w:r w:rsidR="000172D3">
              <w:rPr>
                <w:webHidden/>
              </w:rPr>
              <w:tab/>
            </w:r>
            <w:r w:rsidR="000172D3">
              <w:rPr>
                <w:webHidden/>
              </w:rPr>
              <w:fldChar w:fldCharType="begin"/>
            </w:r>
            <w:r w:rsidR="000172D3">
              <w:rPr>
                <w:webHidden/>
              </w:rPr>
              <w:instrText xml:space="preserve"> PAGEREF _Toc167437673 \h </w:instrText>
            </w:r>
            <w:r w:rsidR="000172D3">
              <w:rPr>
                <w:webHidden/>
              </w:rPr>
            </w:r>
            <w:r w:rsidR="000172D3">
              <w:rPr>
                <w:webHidden/>
              </w:rPr>
              <w:fldChar w:fldCharType="separate"/>
            </w:r>
            <w:r w:rsidR="000172D3">
              <w:rPr>
                <w:webHidden/>
              </w:rPr>
              <w:t>18</w:t>
            </w:r>
            <w:r w:rsidR="000172D3">
              <w:rPr>
                <w:webHidden/>
              </w:rPr>
              <w:fldChar w:fldCharType="end"/>
            </w:r>
          </w:hyperlink>
        </w:p>
        <w:p w14:paraId="787BFF07" w14:textId="47D9D8A7" w:rsidR="000172D3" w:rsidRDefault="0010251C">
          <w:pPr>
            <w:pStyle w:val="TOC1"/>
            <w:rPr>
              <w:rFonts w:asciiTheme="minorHAnsi" w:eastAsiaTheme="minorEastAsia" w:hAnsiTheme="minorHAnsi" w:cstheme="minorBidi"/>
              <w:b w:val="0"/>
              <w:color w:val="auto"/>
              <w:kern w:val="2"/>
              <w:szCs w:val="24"/>
              <w:lang w:eastAsia="en-GB"/>
              <w14:ligatures w14:val="standardContextual"/>
            </w:rPr>
          </w:pPr>
          <w:hyperlink w:anchor="_Toc167437674" w:history="1">
            <w:r w:rsidR="000172D3" w:rsidRPr="00EA72B6">
              <w:rPr>
                <w:rStyle w:val="Hyperlink"/>
              </w:rPr>
              <w:t>3.0</w:t>
            </w:r>
            <w:r w:rsidR="000172D3">
              <w:rPr>
                <w:rFonts w:asciiTheme="minorHAnsi" w:eastAsiaTheme="minorEastAsia" w:hAnsiTheme="minorHAnsi" w:cstheme="minorBidi"/>
                <w:b w:val="0"/>
                <w:color w:val="auto"/>
                <w:kern w:val="2"/>
                <w:szCs w:val="24"/>
                <w:lang w:eastAsia="en-GB"/>
                <w14:ligatures w14:val="standardContextual"/>
              </w:rPr>
              <w:tab/>
            </w:r>
            <w:r w:rsidR="000172D3" w:rsidRPr="00EA72B6">
              <w:rPr>
                <w:rStyle w:val="Hyperlink"/>
              </w:rPr>
              <w:t>If, how, when, and why these factors affect choice of contracting approach.</w:t>
            </w:r>
            <w:r w:rsidR="000172D3">
              <w:rPr>
                <w:webHidden/>
              </w:rPr>
              <w:tab/>
            </w:r>
            <w:r w:rsidR="000172D3">
              <w:rPr>
                <w:webHidden/>
              </w:rPr>
              <w:fldChar w:fldCharType="begin"/>
            </w:r>
            <w:r w:rsidR="000172D3">
              <w:rPr>
                <w:webHidden/>
              </w:rPr>
              <w:instrText xml:space="preserve"> PAGEREF _Toc167437674 \h </w:instrText>
            </w:r>
            <w:r w:rsidR="000172D3">
              <w:rPr>
                <w:webHidden/>
              </w:rPr>
            </w:r>
            <w:r w:rsidR="000172D3">
              <w:rPr>
                <w:webHidden/>
              </w:rPr>
              <w:fldChar w:fldCharType="separate"/>
            </w:r>
            <w:r w:rsidR="000172D3">
              <w:rPr>
                <w:webHidden/>
              </w:rPr>
              <w:t>20</w:t>
            </w:r>
            <w:r w:rsidR="000172D3">
              <w:rPr>
                <w:webHidden/>
              </w:rPr>
              <w:fldChar w:fldCharType="end"/>
            </w:r>
          </w:hyperlink>
        </w:p>
        <w:p w14:paraId="47F39658" w14:textId="07003B98" w:rsidR="000172D3" w:rsidRDefault="0010251C">
          <w:pPr>
            <w:pStyle w:val="TOC2"/>
            <w:rPr>
              <w:rFonts w:asciiTheme="minorHAnsi" w:eastAsiaTheme="minorEastAsia" w:hAnsiTheme="minorHAnsi" w:cstheme="minorBidi"/>
              <w:color w:val="auto"/>
              <w:kern w:val="2"/>
              <w:sz w:val="24"/>
              <w:szCs w:val="24"/>
              <w:lang w:eastAsia="en-GB"/>
              <w14:ligatures w14:val="standardContextual"/>
            </w:rPr>
          </w:pPr>
          <w:hyperlink w:anchor="_Toc167437675" w:history="1">
            <w:r w:rsidR="000172D3" w:rsidRPr="00EA72B6">
              <w:rPr>
                <w:rStyle w:val="Hyperlink"/>
              </w:rPr>
              <w:t>3.1</w:t>
            </w:r>
            <w:r w:rsidR="000172D3">
              <w:rPr>
                <w:rFonts w:asciiTheme="minorHAnsi" w:eastAsiaTheme="minorEastAsia" w:hAnsiTheme="minorHAnsi" w:cstheme="minorBidi"/>
                <w:color w:val="auto"/>
                <w:kern w:val="2"/>
                <w:sz w:val="24"/>
                <w:szCs w:val="24"/>
                <w:lang w:eastAsia="en-GB"/>
                <w14:ligatures w14:val="standardContextual"/>
              </w:rPr>
              <w:tab/>
            </w:r>
            <w:r w:rsidR="000172D3" w:rsidRPr="00EA72B6">
              <w:rPr>
                <w:rStyle w:val="Hyperlink"/>
              </w:rPr>
              <w:t>Social Impact Bonds</w:t>
            </w:r>
            <w:r w:rsidR="000172D3">
              <w:rPr>
                <w:webHidden/>
              </w:rPr>
              <w:tab/>
            </w:r>
            <w:r w:rsidR="000172D3">
              <w:rPr>
                <w:webHidden/>
              </w:rPr>
              <w:fldChar w:fldCharType="begin"/>
            </w:r>
            <w:r w:rsidR="000172D3">
              <w:rPr>
                <w:webHidden/>
              </w:rPr>
              <w:instrText xml:space="preserve"> PAGEREF _Toc167437675 \h </w:instrText>
            </w:r>
            <w:r w:rsidR="000172D3">
              <w:rPr>
                <w:webHidden/>
              </w:rPr>
            </w:r>
            <w:r w:rsidR="000172D3">
              <w:rPr>
                <w:webHidden/>
              </w:rPr>
              <w:fldChar w:fldCharType="separate"/>
            </w:r>
            <w:r w:rsidR="000172D3">
              <w:rPr>
                <w:webHidden/>
              </w:rPr>
              <w:t>20</w:t>
            </w:r>
            <w:r w:rsidR="000172D3">
              <w:rPr>
                <w:webHidden/>
              </w:rPr>
              <w:fldChar w:fldCharType="end"/>
            </w:r>
          </w:hyperlink>
        </w:p>
        <w:p w14:paraId="66DB8FE6" w14:textId="11AF7395" w:rsidR="000172D3" w:rsidRDefault="0010251C">
          <w:pPr>
            <w:pStyle w:val="TOC2"/>
            <w:rPr>
              <w:rFonts w:asciiTheme="minorHAnsi" w:eastAsiaTheme="minorEastAsia" w:hAnsiTheme="minorHAnsi" w:cstheme="minorBidi"/>
              <w:color w:val="auto"/>
              <w:kern w:val="2"/>
              <w:sz w:val="24"/>
              <w:szCs w:val="24"/>
              <w:lang w:eastAsia="en-GB"/>
              <w14:ligatures w14:val="standardContextual"/>
            </w:rPr>
          </w:pPr>
          <w:hyperlink w:anchor="_Toc167437676" w:history="1">
            <w:r w:rsidR="000172D3" w:rsidRPr="00EA72B6">
              <w:rPr>
                <w:rStyle w:val="Hyperlink"/>
              </w:rPr>
              <w:t>3.2</w:t>
            </w:r>
            <w:r w:rsidR="000172D3">
              <w:rPr>
                <w:rFonts w:asciiTheme="minorHAnsi" w:eastAsiaTheme="minorEastAsia" w:hAnsiTheme="minorHAnsi" w:cstheme="minorBidi"/>
                <w:color w:val="auto"/>
                <w:kern w:val="2"/>
                <w:sz w:val="24"/>
                <w:szCs w:val="24"/>
                <w:lang w:eastAsia="en-GB"/>
                <w14:ligatures w14:val="standardContextual"/>
              </w:rPr>
              <w:tab/>
            </w:r>
            <w:r w:rsidR="000172D3" w:rsidRPr="00EA72B6">
              <w:rPr>
                <w:rStyle w:val="Hyperlink"/>
              </w:rPr>
              <w:t>Payment by Results</w:t>
            </w:r>
            <w:r w:rsidR="000172D3">
              <w:rPr>
                <w:webHidden/>
              </w:rPr>
              <w:tab/>
            </w:r>
            <w:r w:rsidR="000172D3">
              <w:rPr>
                <w:webHidden/>
              </w:rPr>
              <w:fldChar w:fldCharType="begin"/>
            </w:r>
            <w:r w:rsidR="000172D3">
              <w:rPr>
                <w:webHidden/>
              </w:rPr>
              <w:instrText xml:space="preserve"> PAGEREF _Toc167437676 \h </w:instrText>
            </w:r>
            <w:r w:rsidR="000172D3">
              <w:rPr>
                <w:webHidden/>
              </w:rPr>
            </w:r>
            <w:r w:rsidR="000172D3">
              <w:rPr>
                <w:webHidden/>
              </w:rPr>
              <w:fldChar w:fldCharType="separate"/>
            </w:r>
            <w:r w:rsidR="000172D3">
              <w:rPr>
                <w:webHidden/>
              </w:rPr>
              <w:t>21</w:t>
            </w:r>
            <w:r w:rsidR="000172D3">
              <w:rPr>
                <w:webHidden/>
              </w:rPr>
              <w:fldChar w:fldCharType="end"/>
            </w:r>
          </w:hyperlink>
        </w:p>
        <w:p w14:paraId="102C53E8" w14:textId="4E68F01A" w:rsidR="000172D3" w:rsidRDefault="0010251C">
          <w:pPr>
            <w:pStyle w:val="TOC2"/>
            <w:rPr>
              <w:rFonts w:asciiTheme="minorHAnsi" w:eastAsiaTheme="minorEastAsia" w:hAnsiTheme="minorHAnsi" w:cstheme="minorBidi"/>
              <w:color w:val="auto"/>
              <w:kern w:val="2"/>
              <w:sz w:val="24"/>
              <w:szCs w:val="24"/>
              <w:lang w:eastAsia="en-GB"/>
              <w14:ligatures w14:val="standardContextual"/>
            </w:rPr>
          </w:pPr>
          <w:hyperlink w:anchor="_Toc167437677" w:history="1">
            <w:r w:rsidR="000172D3" w:rsidRPr="00EA72B6">
              <w:rPr>
                <w:rStyle w:val="Hyperlink"/>
              </w:rPr>
              <w:t>3.3</w:t>
            </w:r>
            <w:r w:rsidR="000172D3">
              <w:rPr>
                <w:rFonts w:asciiTheme="minorHAnsi" w:eastAsiaTheme="minorEastAsia" w:hAnsiTheme="minorHAnsi" w:cstheme="minorBidi"/>
                <w:color w:val="auto"/>
                <w:kern w:val="2"/>
                <w:sz w:val="24"/>
                <w:szCs w:val="24"/>
                <w:lang w:eastAsia="en-GB"/>
                <w14:ligatures w14:val="standardContextual"/>
              </w:rPr>
              <w:tab/>
            </w:r>
            <w:r w:rsidR="000172D3" w:rsidRPr="00EA72B6">
              <w:rPr>
                <w:rStyle w:val="Hyperlink"/>
              </w:rPr>
              <w:t>Alliance contracting</w:t>
            </w:r>
            <w:r w:rsidR="000172D3">
              <w:rPr>
                <w:webHidden/>
              </w:rPr>
              <w:tab/>
            </w:r>
            <w:r w:rsidR="000172D3">
              <w:rPr>
                <w:webHidden/>
              </w:rPr>
              <w:fldChar w:fldCharType="begin"/>
            </w:r>
            <w:r w:rsidR="000172D3">
              <w:rPr>
                <w:webHidden/>
              </w:rPr>
              <w:instrText xml:space="preserve"> PAGEREF _Toc167437677 \h </w:instrText>
            </w:r>
            <w:r w:rsidR="000172D3">
              <w:rPr>
                <w:webHidden/>
              </w:rPr>
            </w:r>
            <w:r w:rsidR="000172D3">
              <w:rPr>
                <w:webHidden/>
              </w:rPr>
              <w:fldChar w:fldCharType="separate"/>
            </w:r>
            <w:r w:rsidR="000172D3">
              <w:rPr>
                <w:webHidden/>
              </w:rPr>
              <w:t>22</w:t>
            </w:r>
            <w:r w:rsidR="000172D3">
              <w:rPr>
                <w:webHidden/>
              </w:rPr>
              <w:fldChar w:fldCharType="end"/>
            </w:r>
          </w:hyperlink>
        </w:p>
        <w:p w14:paraId="0F9BAD99" w14:textId="3423ABCD" w:rsidR="000172D3" w:rsidRDefault="0010251C">
          <w:pPr>
            <w:pStyle w:val="TOC2"/>
            <w:rPr>
              <w:rFonts w:asciiTheme="minorHAnsi" w:eastAsiaTheme="minorEastAsia" w:hAnsiTheme="minorHAnsi" w:cstheme="minorBidi"/>
              <w:color w:val="auto"/>
              <w:kern w:val="2"/>
              <w:sz w:val="24"/>
              <w:szCs w:val="24"/>
              <w:lang w:eastAsia="en-GB"/>
              <w14:ligatures w14:val="standardContextual"/>
            </w:rPr>
          </w:pPr>
          <w:hyperlink w:anchor="_Toc167437678" w:history="1">
            <w:r w:rsidR="000172D3" w:rsidRPr="00EA72B6">
              <w:rPr>
                <w:rStyle w:val="Hyperlink"/>
              </w:rPr>
              <w:t>3.4</w:t>
            </w:r>
            <w:r w:rsidR="000172D3">
              <w:rPr>
                <w:rFonts w:asciiTheme="minorHAnsi" w:eastAsiaTheme="minorEastAsia" w:hAnsiTheme="minorHAnsi" w:cstheme="minorBidi"/>
                <w:color w:val="auto"/>
                <w:kern w:val="2"/>
                <w:sz w:val="24"/>
                <w:szCs w:val="24"/>
                <w:lang w:eastAsia="en-GB"/>
                <w14:ligatures w14:val="standardContextual"/>
              </w:rPr>
              <w:tab/>
            </w:r>
            <w:r w:rsidR="000172D3" w:rsidRPr="00EA72B6">
              <w:rPr>
                <w:rStyle w:val="Hyperlink"/>
              </w:rPr>
              <w:t>Fee for Service</w:t>
            </w:r>
            <w:r w:rsidR="000172D3">
              <w:rPr>
                <w:webHidden/>
              </w:rPr>
              <w:tab/>
            </w:r>
            <w:r w:rsidR="000172D3">
              <w:rPr>
                <w:webHidden/>
              </w:rPr>
              <w:fldChar w:fldCharType="begin"/>
            </w:r>
            <w:r w:rsidR="000172D3">
              <w:rPr>
                <w:webHidden/>
              </w:rPr>
              <w:instrText xml:space="preserve"> PAGEREF _Toc167437678 \h </w:instrText>
            </w:r>
            <w:r w:rsidR="000172D3">
              <w:rPr>
                <w:webHidden/>
              </w:rPr>
            </w:r>
            <w:r w:rsidR="000172D3">
              <w:rPr>
                <w:webHidden/>
              </w:rPr>
              <w:fldChar w:fldCharType="separate"/>
            </w:r>
            <w:r w:rsidR="000172D3">
              <w:rPr>
                <w:webHidden/>
              </w:rPr>
              <w:t>22</w:t>
            </w:r>
            <w:r w:rsidR="000172D3">
              <w:rPr>
                <w:webHidden/>
              </w:rPr>
              <w:fldChar w:fldCharType="end"/>
            </w:r>
          </w:hyperlink>
        </w:p>
        <w:p w14:paraId="625F708A" w14:textId="0B0577AD" w:rsidR="000172D3" w:rsidRDefault="0010251C">
          <w:pPr>
            <w:pStyle w:val="TOC1"/>
            <w:rPr>
              <w:rFonts w:asciiTheme="minorHAnsi" w:eastAsiaTheme="minorEastAsia" w:hAnsiTheme="minorHAnsi" w:cstheme="minorBidi"/>
              <w:b w:val="0"/>
              <w:color w:val="auto"/>
              <w:kern w:val="2"/>
              <w:szCs w:val="24"/>
              <w:lang w:eastAsia="en-GB"/>
              <w14:ligatures w14:val="standardContextual"/>
            </w:rPr>
          </w:pPr>
          <w:hyperlink w:anchor="_Toc167437679" w:history="1">
            <w:r w:rsidR="000172D3" w:rsidRPr="00EA72B6">
              <w:rPr>
                <w:rStyle w:val="Hyperlink"/>
              </w:rPr>
              <w:t>4.0</w:t>
            </w:r>
            <w:r w:rsidR="000172D3">
              <w:rPr>
                <w:rFonts w:asciiTheme="minorHAnsi" w:eastAsiaTheme="minorEastAsia" w:hAnsiTheme="minorHAnsi" w:cstheme="minorBidi"/>
                <w:b w:val="0"/>
                <w:color w:val="auto"/>
                <w:kern w:val="2"/>
                <w:szCs w:val="24"/>
                <w:lang w:eastAsia="en-GB"/>
                <w14:ligatures w14:val="standardContextual"/>
              </w:rPr>
              <w:tab/>
            </w:r>
            <w:r w:rsidR="000172D3" w:rsidRPr="00EA72B6">
              <w:rPr>
                <w:rStyle w:val="Hyperlink"/>
              </w:rPr>
              <w:t>Implication of these factors for commissioning Social Impact Bonds</w:t>
            </w:r>
            <w:r w:rsidR="000172D3">
              <w:rPr>
                <w:webHidden/>
              </w:rPr>
              <w:tab/>
            </w:r>
            <w:r w:rsidR="000172D3">
              <w:rPr>
                <w:webHidden/>
              </w:rPr>
              <w:fldChar w:fldCharType="begin"/>
            </w:r>
            <w:r w:rsidR="000172D3">
              <w:rPr>
                <w:webHidden/>
              </w:rPr>
              <w:instrText xml:space="preserve"> PAGEREF _Toc167437679 \h </w:instrText>
            </w:r>
            <w:r w:rsidR="000172D3">
              <w:rPr>
                <w:webHidden/>
              </w:rPr>
            </w:r>
            <w:r w:rsidR="000172D3">
              <w:rPr>
                <w:webHidden/>
              </w:rPr>
              <w:fldChar w:fldCharType="separate"/>
            </w:r>
            <w:r w:rsidR="000172D3">
              <w:rPr>
                <w:webHidden/>
              </w:rPr>
              <w:t>23</w:t>
            </w:r>
            <w:r w:rsidR="000172D3">
              <w:rPr>
                <w:webHidden/>
              </w:rPr>
              <w:fldChar w:fldCharType="end"/>
            </w:r>
          </w:hyperlink>
        </w:p>
        <w:p w14:paraId="026D538D" w14:textId="301D3A15" w:rsidR="000172D3" w:rsidRDefault="0010251C">
          <w:pPr>
            <w:pStyle w:val="TOC2"/>
            <w:rPr>
              <w:rFonts w:asciiTheme="minorHAnsi" w:eastAsiaTheme="minorEastAsia" w:hAnsiTheme="minorHAnsi" w:cstheme="minorBidi"/>
              <w:color w:val="auto"/>
              <w:kern w:val="2"/>
              <w:sz w:val="24"/>
              <w:szCs w:val="24"/>
              <w:lang w:eastAsia="en-GB"/>
              <w14:ligatures w14:val="standardContextual"/>
            </w:rPr>
          </w:pPr>
          <w:hyperlink w:anchor="_Toc167437680" w:history="1">
            <w:r w:rsidR="000172D3" w:rsidRPr="00EA72B6">
              <w:rPr>
                <w:rStyle w:val="Hyperlink"/>
              </w:rPr>
              <w:t>4.1</w:t>
            </w:r>
            <w:r w:rsidR="000172D3">
              <w:rPr>
                <w:rFonts w:asciiTheme="minorHAnsi" w:eastAsiaTheme="minorEastAsia" w:hAnsiTheme="minorHAnsi" w:cstheme="minorBidi"/>
                <w:color w:val="auto"/>
                <w:kern w:val="2"/>
                <w:sz w:val="24"/>
                <w:szCs w:val="24"/>
                <w:lang w:eastAsia="en-GB"/>
                <w14:ligatures w14:val="standardContextual"/>
              </w:rPr>
              <w:tab/>
            </w:r>
            <w:r w:rsidR="000172D3" w:rsidRPr="00EA72B6">
              <w:rPr>
                <w:rStyle w:val="Hyperlink"/>
              </w:rPr>
              <w:t>Overall context – primacy of economic factors</w:t>
            </w:r>
            <w:r w:rsidR="000172D3">
              <w:rPr>
                <w:webHidden/>
              </w:rPr>
              <w:tab/>
            </w:r>
            <w:r w:rsidR="000172D3">
              <w:rPr>
                <w:webHidden/>
              </w:rPr>
              <w:fldChar w:fldCharType="begin"/>
            </w:r>
            <w:r w:rsidR="000172D3">
              <w:rPr>
                <w:webHidden/>
              </w:rPr>
              <w:instrText xml:space="preserve"> PAGEREF _Toc167437680 \h </w:instrText>
            </w:r>
            <w:r w:rsidR="000172D3">
              <w:rPr>
                <w:webHidden/>
              </w:rPr>
            </w:r>
            <w:r w:rsidR="000172D3">
              <w:rPr>
                <w:webHidden/>
              </w:rPr>
              <w:fldChar w:fldCharType="separate"/>
            </w:r>
            <w:r w:rsidR="000172D3">
              <w:rPr>
                <w:webHidden/>
              </w:rPr>
              <w:t>23</w:t>
            </w:r>
            <w:r w:rsidR="000172D3">
              <w:rPr>
                <w:webHidden/>
              </w:rPr>
              <w:fldChar w:fldCharType="end"/>
            </w:r>
          </w:hyperlink>
        </w:p>
        <w:p w14:paraId="372AED8A" w14:textId="20D4D8B6" w:rsidR="000172D3" w:rsidRDefault="0010251C">
          <w:pPr>
            <w:pStyle w:val="TOC2"/>
            <w:rPr>
              <w:rFonts w:asciiTheme="minorHAnsi" w:eastAsiaTheme="minorEastAsia" w:hAnsiTheme="minorHAnsi" w:cstheme="minorBidi"/>
              <w:color w:val="auto"/>
              <w:kern w:val="2"/>
              <w:sz w:val="24"/>
              <w:szCs w:val="24"/>
              <w:lang w:eastAsia="en-GB"/>
              <w14:ligatures w14:val="standardContextual"/>
            </w:rPr>
          </w:pPr>
          <w:hyperlink w:anchor="_Toc167437681" w:history="1">
            <w:r w:rsidR="000172D3" w:rsidRPr="00EA72B6">
              <w:rPr>
                <w:rStyle w:val="Hyperlink"/>
              </w:rPr>
              <w:t>4.2</w:t>
            </w:r>
            <w:r w:rsidR="000172D3">
              <w:rPr>
                <w:rFonts w:asciiTheme="minorHAnsi" w:eastAsiaTheme="minorEastAsia" w:hAnsiTheme="minorHAnsi" w:cstheme="minorBidi"/>
                <w:color w:val="auto"/>
                <w:kern w:val="2"/>
                <w:sz w:val="24"/>
                <w:szCs w:val="24"/>
                <w:lang w:eastAsia="en-GB"/>
                <w14:ligatures w14:val="standardContextual"/>
              </w:rPr>
              <w:tab/>
            </w:r>
            <w:r w:rsidR="000172D3" w:rsidRPr="00EA72B6">
              <w:rPr>
                <w:rStyle w:val="Hyperlink"/>
              </w:rPr>
              <w:t>Assessing the economic benefits of a SIB</w:t>
            </w:r>
            <w:r w:rsidR="000172D3">
              <w:rPr>
                <w:webHidden/>
              </w:rPr>
              <w:tab/>
            </w:r>
            <w:r w:rsidR="000172D3">
              <w:rPr>
                <w:webHidden/>
              </w:rPr>
              <w:fldChar w:fldCharType="begin"/>
            </w:r>
            <w:r w:rsidR="000172D3">
              <w:rPr>
                <w:webHidden/>
              </w:rPr>
              <w:instrText xml:space="preserve"> PAGEREF _Toc167437681 \h </w:instrText>
            </w:r>
            <w:r w:rsidR="000172D3">
              <w:rPr>
                <w:webHidden/>
              </w:rPr>
            </w:r>
            <w:r w:rsidR="000172D3">
              <w:rPr>
                <w:webHidden/>
              </w:rPr>
              <w:fldChar w:fldCharType="separate"/>
            </w:r>
            <w:r w:rsidR="000172D3">
              <w:rPr>
                <w:webHidden/>
              </w:rPr>
              <w:t>23</w:t>
            </w:r>
            <w:r w:rsidR="000172D3">
              <w:rPr>
                <w:webHidden/>
              </w:rPr>
              <w:fldChar w:fldCharType="end"/>
            </w:r>
          </w:hyperlink>
        </w:p>
        <w:p w14:paraId="04E78C26" w14:textId="2EC438A3" w:rsidR="000172D3" w:rsidRDefault="0010251C">
          <w:pPr>
            <w:pStyle w:val="TOC2"/>
            <w:rPr>
              <w:rFonts w:asciiTheme="minorHAnsi" w:eastAsiaTheme="minorEastAsia" w:hAnsiTheme="minorHAnsi" w:cstheme="minorBidi"/>
              <w:color w:val="auto"/>
              <w:kern w:val="2"/>
              <w:sz w:val="24"/>
              <w:szCs w:val="24"/>
              <w:lang w:eastAsia="en-GB"/>
              <w14:ligatures w14:val="standardContextual"/>
            </w:rPr>
          </w:pPr>
          <w:hyperlink w:anchor="_Toc167437682" w:history="1">
            <w:r w:rsidR="000172D3" w:rsidRPr="00EA72B6">
              <w:rPr>
                <w:rStyle w:val="Hyperlink"/>
              </w:rPr>
              <w:t>4.3</w:t>
            </w:r>
            <w:r w:rsidR="000172D3">
              <w:rPr>
                <w:rFonts w:asciiTheme="minorHAnsi" w:eastAsiaTheme="minorEastAsia" w:hAnsiTheme="minorHAnsi" w:cstheme="minorBidi"/>
                <w:color w:val="auto"/>
                <w:kern w:val="2"/>
                <w:sz w:val="24"/>
                <w:szCs w:val="24"/>
                <w:lang w:eastAsia="en-GB"/>
                <w14:ligatures w14:val="standardContextual"/>
              </w:rPr>
              <w:tab/>
            </w:r>
            <w:r w:rsidR="000172D3" w:rsidRPr="00EA72B6">
              <w:rPr>
                <w:rStyle w:val="Hyperlink"/>
              </w:rPr>
              <w:t>Weighing political and sociological factors</w:t>
            </w:r>
            <w:r w:rsidR="000172D3">
              <w:rPr>
                <w:webHidden/>
              </w:rPr>
              <w:tab/>
            </w:r>
            <w:r w:rsidR="000172D3">
              <w:rPr>
                <w:webHidden/>
              </w:rPr>
              <w:fldChar w:fldCharType="begin"/>
            </w:r>
            <w:r w:rsidR="000172D3">
              <w:rPr>
                <w:webHidden/>
              </w:rPr>
              <w:instrText xml:space="preserve"> PAGEREF _Toc167437682 \h </w:instrText>
            </w:r>
            <w:r w:rsidR="000172D3">
              <w:rPr>
                <w:webHidden/>
              </w:rPr>
            </w:r>
            <w:r w:rsidR="000172D3">
              <w:rPr>
                <w:webHidden/>
              </w:rPr>
              <w:fldChar w:fldCharType="separate"/>
            </w:r>
            <w:r w:rsidR="000172D3">
              <w:rPr>
                <w:webHidden/>
              </w:rPr>
              <w:t>24</w:t>
            </w:r>
            <w:r w:rsidR="000172D3">
              <w:rPr>
                <w:webHidden/>
              </w:rPr>
              <w:fldChar w:fldCharType="end"/>
            </w:r>
          </w:hyperlink>
        </w:p>
        <w:p w14:paraId="41F83D16" w14:textId="2B930ABC" w:rsidR="000172D3" w:rsidRDefault="0010251C">
          <w:pPr>
            <w:pStyle w:val="TOC2"/>
            <w:rPr>
              <w:rFonts w:asciiTheme="minorHAnsi" w:eastAsiaTheme="minorEastAsia" w:hAnsiTheme="minorHAnsi" w:cstheme="minorBidi"/>
              <w:color w:val="auto"/>
              <w:kern w:val="2"/>
              <w:sz w:val="24"/>
              <w:szCs w:val="24"/>
              <w:lang w:eastAsia="en-GB"/>
              <w14:ligatures w14:val="standardContextual"/>
            </w:rPr>
          </w:pPr>
          <w:hyperlink w:anchor="_Toc167437683" w:history="1">
            <w:r w:rsidR="000172D3" w:rsidRPr="00EA72B6">
              <w:rPr>
                <w:rStyle w:val="Hyperlink"/>
              </w:rPr>
              <w:t>4.4</w:t>
            </w:r>
            <w:r w:rsidR="000172D3">
              <w:rPr>
                <w:rFonts w:asciiTheme="minorHAnsi" w:eastAsiaTheme="minorEastAsia" w:hAnsiTheme="minorHAnsi" w:cstheme="minorBidi"/>
                <w:color w:val="auto"/>
                <w:kern w:val="2"/>
                <w:sz w:val="24"/>
                <w:szCs w:val="24"/>
                <w:lang w:eastAsia="en-GB"/>
                <w14:ligatures w14:val="standardContextual"/>
              </w:rPr>
              <w:tab/>
            </w:r>
            <w:r w:rsidR="000172D3" w:rsidRPr="00EA72B6">
              <w:rPr>
                <w:rStyle w:val="Hyperlink"/>
              </w:rPr>
              <w:t>Full appraisal of all options</w:t>
            </w:r>
            <w:r w:rsidR="000172D3">
              <w:rPr>
                <w:webHidden/>
              </w:rPr>
              <w:tab/>
            </w:r>
            <w:r w:rsidR="000172D3">
              <w:rPr>
                <w:webHidden/>
              </w:rPr>
              <w:fldChar w:fldCharType="begin"/>
            </w:r>
            <w:r w:rsidR="000172D3">
              <w:rPr>
                <w:webHidden/>
              </w:rPr>
              <w:instrText xml:space="preserve"> PAGEREF _Toc167437683 \h </w:instrText>
            </w:r>
            <w:r w:rsidR="000172D3">
              <w:rPr>
                <w:webHidden/>
              </w:rPr>
            </w:r>
            <w:r w:rsidR="000172D3">
              <w:rPr>
                <w:webHidden/>
              </w:rPr>
              <w:fldChar w:fldCharType="separate"/>
            </w:r>
            <w:r w:rsidR="000172D3">
              <w:rPr>
                <w:webHidden/>
              </w:rPr>
              <w:t>25</w:t>
            </w:r>
            <w:r w:rsidR="000172D3">
              <w:rPr>
                <w:webHidden/>
              </w:rPr>
              <w:fldChar w:fldCharType="end"/>
            </w:r>
          </w:hyperlink>
        </w:p>
        <w:p w14:paraId="6B4C4011" w14:textId="3F5637AE" w:rsidR="000172D3" w:rsidRDefault="0010251C">
          <w:pPr>
            <w:pStyle w:val="TOC2"/>
            <w:rPr>
              <w:rFonts w:asciiTheme="minorHAnsi" w:eastAsiaTheme="minorEastAsia" w:hAnsiTheme="minorHAnsi" w:cstheme="minorBidi"/>
              <w:color w:val="auto"/>
              <w:kern w:val="2"/>
              <w:sz w:val="24"/>
              <w:szCs w:val="24"/>
              <w:lang w:eastAsia="en-GB"/>
              <w14:ligatures w14:val="standardContextual"/>
            </w:rPr>
          </w:pPr>
          <w:hyperlink w:anchor="_Toc167437684" w:history="1">
            <w:r w:rsidR="000172D3" w:rsidRPr="00EA72B6">
              <w:rPr>
                <w:rStyle w:val="Hyperlink"/>
              </w:rPr>
              <w:t>Bibliography</w:t>
            </w:r>
            <w:r w:rsidR="000172D3">
              <w:rPr>
                <w:webHidden/>
              </w:rPr>
              <w:tab/>
            </w:r>
            <w:r w:rsidR="000172D3">
              <w:rPr>
                <w:webHidden/>
              </w:rPr>
              <w:fldChar w:fldCharType="begin"/>
            </w:r>
            <w:r w:rsidR="000172D3">
              <w:rPr>
                <w:webHidden/>
              </w:rPr>
              <w:instrText xml:space="preserve"> PAGEREF _Toc167437684 \h </w:instrText>
            </w:r>
            <w:r w:rsidR="000172D3">
              <w:rPr>
                <w:webHidden/>
              </w:rPr>
            </w:r>
            <w:r w:rsidR="000172D3">
              <w:rPr>
                <w:webHidden/>
              </w:rPr>
              <w:fldChar w:fldCharType="separate"/>
            </w:r>
            <w:r w:rsidR="000172D3">
              <w:rPr>
                <w:webHidden/>
              </w:rPr>
              <w:t>27</w:t>
            </w:r>
            <w:r w:rsidR="000172D3">
              <w:rPr>
                <w:webHidden/>
              </w:rPr>
              <w:fldChar w:fldCharType="end"/>
            </w:r>
          </w:hyperlink>
        </w:p>
        <w:p w14:paraId="13110902" w14:textId="6742CC87" w:rsidR="00EC4135" w:rsidRDefault="0016466D" w:rsidP="00AA23FF">
          <w:r>
            <w:rPr>
              <w:rFonts w:ascii="Montserrat" w:hAnsi="Montserrat" w:cs="Open Sans Light"/>
              <w:b/>
              <w:noProof/>
              <w:color w:val="006EB8"/>
              <w:sz w:val="24"/>
              <w:szCs w:val="20"/>
            </w:rPr>
            <w:fldChar w:fldCharType="end"/>
          </w:r>
        </w:p>
      </w:sdtContent>
    </w:sdt>
    <w:p w14:paraId="0C61D179" w14:textId="578DC8DA" w:rsidR="00325D0C" w:rsidRDefault="00325D0C" w:rsidP="00325D0C">
      <w:pPr>
        <w:pStyle w:val="EcorysH1"/>
      </w:pPr>
      <w:bookmarkStart w:id="0" w:name="_Toc167437656"/>
      <w:r>
        <w:lastRenderedPageBreak/>
        <w:t xml:space="preserve">Executive Summary </w:t>
      </w:r>
      <w:bookmarkEnd w:id="0"/>
    </w:p>
    <w:p w14:paraId="67B79D46" w14:textId="21B88B3F" w:rsidR="0000163C" w:rsidRDefault="0000163C" w:rsidP="0000163C">
      <w:pPr>
        <w:pStyle w:val="EcorysH3"/>
      </w:pPr>
      <w:bookmarkStart w:id="1" w:name="_Toc167437657"/>
      <w:r>
        <w:t>Introduction</w:t>
      </w:r>
      <w:bookmarkEnd w:id="1"/>
    </w:p>
    <w:p w14:paraId="40C41CF4" w14:textId="7D0683AA" w:rsidR="002E2A89" w:rsidRDefault="002E2A89" w:rsidP="002E2A89">
      <w:pPr>
        <w:pStyle w:val="EcorysBody"/>
      </w:pPr>
      <w:r w:rsidRPr="002E2A89">
        <w:t xml:space="preserve">This report, commissioned by </w:t>
      </w:r>
      <w:r w:rsidRPr="0012737B">
        <w:rPr>
          <w:b/>
          <w:bCs/>
        </w:rPr>
        <w:t>The National Lottery Community Fund</w:t>
      </w:r>
      <w:r w:rsidRPr="002E2A89">
        <w:t xml:space="preserve"> and prepared by </w:t>
      </w:r>
      <w:r w:rsidRPr="0012737B">
        <w:rPr>
          <w:b/>
          <w:bCs/>
        </w:rPr>
        <w:t xml:space="preserve">Ecorys </w:t>
      </w:r>
      <w:r w:rsidRPr="002E2A89">
        <w:t xml:space="preserve">and </w:t>
      </w:r>
      <w:r w:rsidRPr="0012737B">
        <w:rPr>
          <w:b/>
          <w:bCs/>
        </w:rPr>
        <w:t>ATQ Consultants</w:t>
      </w:r>
      <w:r>
        <w:t xml:space="preserve">, explores the </w:t>
      </w:r>
      <w:r w:rsidRPr="0012737B">
        <w:rPr>
          <w:i/>
          <w:iCs/>
        </w:rPr>
        <w:t>political economy of commissioning</w:t>
      </w:r>
      <w:r>
        <w:t xml:space="preserve"> across local government in England. The report </w:t>
      </w:r>
      <w:r w:rsidR="00E439C1">
        <w:t>complements</w:t>
      </w:r>
      <w:r>
        <w:t xml:space="preserve"> Ecorys’ and ATQ’s evaluation of the </w:t>
      </w:r>
      <w:r w:rsidRPr="0012737B">
        <w:rPr>
          <w:b/>
          <w:bCs/>
        </w:rPr>
        <w:t>Commissioning Better Outcomes</w:t>
      </w:r>
      <w:r w:rsidR="00E439C1">
        <w:t xml:space="preserve"> </w:t>
      </w:r>
      <w:r w:rsidR="00BE2722">
        <w:t>(CBO)</w:t>
      </w:r>
      <w:r w:rsidR="00927C6E">
        <w:t xml:space="preserve"> Fund</w:t>
      </w:r>
      <w:r>
        <w:t>, w</w:t>
      </w:r>
      <w:r w:rsidRPr="002E2A89">
        <w:t>hich</w:t>
      </w:r>
      <w:r w:rsidR="00196E94">
        <w:t xml:space="preserve"> is a Fund that</w:t>
      </w:r>
      <w:r w:rsidRPr="002E2A89">
        <w:t xml:space="preserve"> supports the development and delivery of 23 </w:t>
      </w:r>
      <w:r w:rsidR="00196E94">
        <w:t xml:space="preserve">outcomes-based </w:t>
      </w:r>
      <w:r w:rsidRPr="002E2A89">
        <w:t xml:space="preserve">projects, including 22 social impact bonds (SIBs) across England. The evaluation, spanning from 2015 to 2025, examines the effectiveness, challenges, and impact of commissioning through the SIB model, focusing on </w:t>
      </w:r>
      <w:r w:rsidR="00927C6E">
        <w:t xml:space="preserve">if and </w:t>
      </w:r>
      <w:r w:rsidRPr="002E2A89">
        <w:t>how it meets the</w:t>
      </w:r>
      <w:r w:rsidR="00927C6E">
        <w:t xml:space="preserve"> CBO Fund’s broader</w:t>
      </w:r>
      <w:r w:rsidRPr="002E2A89">
        <w:t xml:space="preserve"> aim of fostering fulfilling lives and successful communities, particularly for those most in need. </w:t>
      </w:r>
    </w:p>
    <w:p w14:paraId="5ED85418" w14:textId="158636D0" w:rsidR="00FE7F16" w:rsidRDefault="002E2A89" w:rsidP="00FE7F16">
      <w:pPr>
        <w:pStyle w:val="EcorysBody"/>
        <w:spacing w:after="240"/>
        <w:jc w:val="both"/>
      </w:pPr>
      <w:r>
        <w:t xml:space="preserve">This report seeks to </w:t>
      </w:r>
      <w:r w:rsidRPr="002E2A89">
        <w:t xml:space="preserve">explore </w:t>
      </w:r>
      <w:r w:rsidRPr="0012737B">
        <w:rPr>
          <w:b/>
          <w:bCs/>
        </w:rPr>
        <w:t>how local government commissioners decide on contracting approaches to achieve earlier and better outcomes in health and social services</w:t>
      </w:r>
      <w:r w:rsidR="00FE7F16">
        <w:t xml:space="preserve">. Our research focussed on the following contracting approaches: </w:t>
      </w:r>
      <w:r w:rsidR="00FE7F16" w:rsidRPr="003C0435">
        <w:rPr>
          <w:rStyle w:val="EcorysBold"/>
        </w:rPr>
        <w:t>S</w:t>
      </w:r>
      <w:r w:rsidR="00FE7F16">
        <w:rPr>
          <w:rStyle w:val="EcorysBold"/>
        </w:rPr>
        <w:t>ocial Impact Bonds (S</w:t>
      </w:r>
      <w:r w:rsidR="00FE7F16" w:rsidRPr="003C0435">
        <w:rPr>
          <w:rStyle w:val="EcorysBold"/>
        </w:rPr>
        <w:t>IBs</w:t>
      </w:r>
      <w:r w:rsidR="00FE7F16">
        <w:rPr>
          <w:rStyle w:val="EcorysBold"/>
        </w:rPr>
        <w:t>),</w:t>
      </w:r>
      <w:r w:rsidR="00FE7F16">
        <w:t xml:space="preserve"> a form of outcomes-based contract, where (social) investors provide the upfront capital needed for a provider to set up and deliver a service, with investment repaid by commissioners on the basis of the providers achieving measurable outcomes; </w:t>
      </w:r>
      <w:r w:rsidR="00FE7F16" w:rsidRPr="003C0435">
        <w:rPr>
          <w:rStyle w:val="EcorysBold"/>
        </w:rPr>
        <w:t>Payment-by-Results (PbR)</w:t>
      </w:r>
      <w:r w:rsidR="00FE7F16">
        <w:rPr>
          <w:rStyle w:val="EcorysBold"/>
        </w:rPr>
        <w:t>,</w:t>
      </w:r>
      <w:r w:rsidR="00FE7F16">
        <w:t xml:space="preserve"> where providers are paid based on achieving specified outcomes </w:t>
      </w:r>
      <w:r w:rsidR="009627F6">
        <w:t>(</w:t>
      </w:r>
      <w:r w:rsidR="00FE7F16">
        <w:t>a SIB is a form of PbR</w:t>
      </w:r>
      <w:r w:rsidR="009627F6">
        <w:t>)</w:t>
      </w:r>
      <w:r w:rsidR="00FE7F16">
        <w:t xml:space="preserve">; </w:t>
      </w:r>
      <w:r w:rsidR="00FE7F16" w:rsidRPr="003C0435">
        <w:rPr>
          <w:rStyle w:val="EcorysBold"/>
        </w:rPr>
        <w:t>Alliance contracting</w:t>
      </w:r>
      <w:r w:rsidR="00FE7F16">
        <w:t xml:space="preserve">, where delivery partners come together to hold a single ‘alliance’ contract with a commissioner, with payment typically linked to performance; and </w:t>
      </w:r>
      <w:r w:rsidR="00FE7F16" w:rsidRPr="003C0435">
        <w:rPr>
          <w:b/>
          <w:bCs/>
        </w:rPr>
        <w:t>Fee-For-Service (FFS)</w:t>
      </w:r>
      <w:r w:rsidR="009627F6">
        <w:rPr>
          <w:b/>
          <w:bCs/>
        </w:rPr>
        <w:t xml:space="preserve">, </w:t>
      </w:r>
      <w:r w:rsidR="009627F6">
        <w:t>which is</w:t>
      </w:r>
      <w:r w:rsidR="00736BBD">
        <w:t xml:space="preserve"> a</w:t>
      </w:r>
      <w:r w:rsidR="00FE7F16">
        <w:t xml:space="preserve"> </w:t>
      </w:r>
      <w:r w:rsidR="00736BBD">
        <w:t xml:space="preserve">contract where </w:t>
      </w:r>
      <w:r w:rsidR="00FE7F16">
        <w:t>payment</w:t>
      </w:r>
      <w:r w:rsidR="00736BBD">
        <w:t>s</w:t>
      </w:r>
      <w:r w:rsidR="00FE7F16">
        <w:t xml:space="preserve"> for service</w:t>
      </w:r>
      <w:r w:rsidR="00736BBD">
        <w:t>s are</w:t>
      </w:r>
      <w:r w:rsidR="00FE7F16">
        <w:t xml:space="preserve"> based on inputs or activities delivered. </w:t>
      </w:r>
    </w:p>
    <w:p w14:paraId="7C30B59A" w14:textId="4275D4E5" w:rsidR="00FE7F16" w:rsidRDefault="00BE2722" w:rsidP="00BE2722">
      <w:pPr>
        <w:pStyle w:val="EcorysBody"/>
        <w:spacing w:after="240"/>
        <w:jc w:val="both"/>
      </w:pPr>
      <w:r>
        <w:t xml:space="preserve">The research employed a </w:t>
      </w:r>
      <w:r w:rsidRPr="6002C6A8">
        <w:rPr>
          <w:b/>
          <w:bCs/>
        </w:rPr>
        <w:t>mixed-method approach</w:t>
      </w:r>
      <w:r>
        <w:t xml:space="preserve"> to comprehensively address the key research aims. The methodology consisted of</w:t>
      </w:r>
      <w:r w:rsidR="00B91685">
        <w:t xml:space="preserve"> two</w:t>
      </w:r>
      <w:r>
        <w:t xml:space="preserve"> </w:t>
      </w:r>
      <w:r w:rsidRPr="6002C6A8">
        <w:rPr>
          <w:b/>
          <w:bCs/>
        </w:rPr>
        <w:t xml:space="preserve">Rapid Evidence Assessments (REAs) </w:t>
      </w:r>
      <w:r>
        <w:t xml:space="preserve">and </w:t>
      </w:r>
      <w:r w:rsidR="00736BBD" w:rsidRPr="6002C6A8">
        <w:rPr>
          <w:b/>
          <w:bCs/>
        </w:rPr>
        <w:t>p</w:t>
      </w:r>
      <w:r w:rsidRPr="6002C6A8">
        <w:rPr>
          <w:b/>
          <w:bCs/>
        </w:rPr>
        <w:t xml:space="preserve">rimary </w:t>
      </w:r>
      <w:r w:rsidR="00736BBD" w:rsidRPr="6002C6A8">
        <w:rPr>
          <w:b/>
          <w:bCs/>
        </w:rPr>
        <w:t>q</w:t>
      </w:r>
      <w:r w:rsidRPr="6002C6A8">
        <w:rPr>
          <w:b/>
          <w:bCs/>
        </w:rPr>
        <w:t xml:space="preserve">ualitative </w:t>
      </w:r>
      <w:r w:rsidR="00736BBD" w:rsidRPr="6002C6A8">
        <w:rPr>
          <w:b/>
          <w:bCs/>
        </w:rPr>
        <w:t>r</w:t>
      </w:r>
      <w:r w:rsidRPr="6002C6A8">
        <w:rPr>
          <w:b/>
          <w:bCs/>
        </w:rPr>
        <w:t xml:space="preserve">esearch. </w:t>
      </w:r>
      <w:r>
        <w:t xml:space="preserve">The first REA focused on </w:t>
      </w:r>
      <w:r w:rsidRPr="6002C6A8">
        <w:rPr>
          <w:i/>
          <w:iCs/>
        </w:rPr>
        <w:t>the factors influencing local government commissioners when choosing a contracting approach</w:t>
      </w:r>
      <w:r>
        <w:t xml:space="preserve">, analysing political, economic, sociological, technological, legal, and environmental (PESTLE) factors. The second REA compared </w:t>
      </w:r>
      <w:r w:rsidRPr="6002C6A8">
        <w:rPr>
          <w:i/>
          <w:iCs/>
        </w:rPr>
        <w:t>the advantages and disadvantages of SIBs with other contracting approaches</w:t>
      </w:r>
      <w:r>
        <w:t xml:space="preserve"> such as fee-for-service, payment-by-results, and alliance contracting. A rigorous literature search </w:t>
      </w:r>
      <w:r w:rsidRPr="6002C6A8">
        <w:rPr>
          <w:b/>
          <w:bCs/>
        </w:rPr>
        <w:t>identified 337 relevant documents</w:t>
      </w:r>
      <w:r>
        <w:t xml:space="preserve">, which were appraised for quality and relevance, resulting in </w:t>
      </w:r>
      <w:r w:rsidRPr="6002C6A8">
        <w:rPr>
          <w:b/>
          <w:bCs/>
        </w:rPr>
        <w:t>96 documents being reviewed</w:t>
      </w:r>
      <w:r>
        <w:t xml:space="preserve"> in detail. The findings were thematically analysed and synthesi</w:t>
      </w:r>
      <w:r w:rsidR="007553DC">
        <w:t>s</w:t>
      </w:r>
      <w:r>
        <w:t xml:space="preserve">ed into summary reports. These finding were supplemented </w:t>
      </w:r>
      <w:r w:rsidR="45467B87">
        <w:t>by qualitative</w:t>
      </w:r>
      <w:r>
        <w:t xml:space="preserve"> </w:t>
      </w:r>
      <w:r w:rsidR="007553DC">
        <w:t>r</w:t>
      </w:r>
      <w:r w:rsidR="00032596">
        <w:t>esearch conducted</w:t>
      </w:r>
      <w:r>
        <w:t xml:space="preserve"> with commissioners from </w:t>
      </w:r>
      <w:r w:rsidRPr="6002C6A8">
        <w:rPr>
          <w:b/>
          <w:bCs/>
        </w:rPr>
        <w:t>10 local authorities.</w:t>
      </w:r>
      <w:r>
        <w:t xml:space="preserve"> A purposive sampling method ensured a diverse range of perspectives, including</w:t>
      </w:r>
      <w:r w:rsidR="000C7484">
        <w:t xml:space="preserve"> local authorities that </w:t>
      </w:r>
      <w:r w:rsidR="004E1246">
        <w:t xml:space="preserve">had </w:t>
      </w:r>
      <w:r w:rsidR="000C7484">
        <w:t>employed</w:t>
      </w:r>
      <w:r>
        <w:t xml:space="preserve"> both innovative and traditional contracting models. Data collection involved </w:t>
      </w:r>
      <w:r w:rsidRPr="6002C6A8">
        <w:rPr>
          <w:b/>
          <w:bCs/>
        </w:rPr>
        <w:t>remote and in-person interviews and workshops</w:t>
      </w:r>
      <w:r>
        <w:t xml:space="preserve">, conducted from August to November 2023, with a </w:t>
      </w:r>
      <w:r w:rsidRPr="6002C6A8">
        <w:rPr>
          <w:b/>
          <w:bCs/>
        </w:rPr>
        <w:t>total of 13 participants</w:t>
      </w:r>
      <w:r>
        <w:t xml:space="preserve"> discussing various contracting approaches across health, adult social care, and children’s social care.</w:t>
      </w:r>
    </w:p>
    <w:p w14:paraId="4F345E07" w14:textId="760A7DFA" w:rsidR="0000163C" w:rsidRDefault="005B57DB" w:rsidP="0012737B">
      <w:pPr>
        <w:pStyle w:val="EcorysBody"/>
      </w:pPr>
      <w:r>
        <w:t>T</w:t>
      </w:r>
      <w:r w:rsidR="002D399E">
        <w:t xml:space="preserve">his report </w:t>
      </w:r>
      <w:r w:rsidR="004E1246">
        <w:t>brings together the findings from the</w:t>
      </w:r>
      <w:r w:rsidR="002D399E">
        <w:t xml:space="preserve"> REAs and </w:t>
      </w:r>
      <w:r w:rsidR="004E1246">
        <w:t>q</w:t>
      </w:r>
      <w:r w:rsidR="002D399E">
        <w:t xml:space="preserve">ualitative </w:t>
      </w:r>
      <w:r w:rsidR="004E1246">
        <w:t>r</w:t>
      </w:r>
      <w:r w:rsidR="002D399E">
        <w:t xml:space="preserve">esearch to consider how </w:t>
      </w:r>
      <w:bookmarkStart w:id="2" w:name="_Int_nVRocbah"/>
      <w:r w:rsidR="002D399E">
        <w:t>various factors</w:t>
      </w:r>
      <w:bookmarkEnd w:id="2"/>
      <w:r w:rsidR="002D399E">
        <w:t xml:space="preserve"> influence commissioner decision making</w:t>
      </w:r>
      <w:r w:rsidR="006324D2">
        <w:t xml:space="preserve"> and</w:t>
      </w:r>
      <w:r w:rsidR="002D399E">
        <w:t xml:space="preserve"> if, how, when, and why these factors inform commissioners</w:t>
      </w:r>
      <w:r w:rsidR="006324D2">
        <w:t>’</w:t>
      </w:r>
      <w:r w:rsidR="002D399E">
        <w:t xml:space="preserve"> choice of contracting approach. It then considers the implications of the research on </w:t>
      </w:r>
      <w:r w:rsidR="00244086">
        <w:t xml:space="preserve">the </w:t>
      </w:r>
      <w:r w:rsidR="002D399E">
        <w:t xml:space="preserve">commissioning of </w:t>
      </w:r>
      <w:r w:rsidR="00244086">
        <w:t>social impact bonds</w:t>
      </w:r>
      <w:r w:rsidR="002D399E">
        <w:t xml:space="preserve">. </w:t>
      </w:r>
    </w:p>
    <w:p w14:paraId="5BEF1A79" w14:textId="3FB3241C" w:rsidR="002D399E" w:rsidRDefault="0000163C" w:rsidP="002341B0">
      <w:pPr>
        <w:pStyle w:val="EcorysH3"/>
      </w:pPr>
      <w:bookmarkStart w:id="3" w:name="_Toc167437658"/>
      <w:r>
        <w:t>Findings</w:t>
      </w:r>
      <w:bookmarkEnd w:id="3"/>
    </w:p>
    <w:p w14:paraId="57EBB330" w14:textId="2F5C5D6F" w:rsidR="0000163C" w:rsidRPr="002341B0" w:rsidRDefault="002341B0" w:rsidP="002341B0">
      <w:pPr>
        <w:pStyle w:val="EcorysBody"/>
      </w:pPr>
      <w:r>
        <w:t>The table below summarises the key findings relating to what factors influence commissioner decision-making.</w:t>
      </w:r>
      <w:r w:rsidR="00325DFC">
        <w:t xml:space="preserve"> Overall, the research emphasised </w:t>
      </w:r>
      <w:r w:rsidR="00325DFC" w:rsidRPr="6002C6A8">
        <w:rPr>
          <w:b/>
          <w:bCs/>
        </w:rPr>
        <w:t xml:space="preserve">the </w:t>
      </w:r>
      <w:r w:rsidR="00521131" w:rsidRPr="6002C6A8">
        <w:rPr>
          <w:b/>
          <w:bCs/>
        </w:rPr>
        <w:t>strong influence of economic factors</w:t>
      </w:r>
      <w:r w:rsidR="00521131">
        <w:t xml:space="preserve"> in shaping commissioners’ decisions</w:t>
      </w:r>
      <w:r w:rsidR="00FB23F8">
        <w:t>,</w:t>
      </w:r>
      <w:r w:rsidR="00521131">
        <w:t xml:space="preserve"> </w:t>
      </w:r>
      <w:r w:rsidR="49320A49">
        <w:t>there</w:t>
      </w:r>
      <w:r w:rsidR="00521131">
        <w:t xml:space="preserve"> was less evidence on the role of technological and environmental factors in shaping decision-making.</w:t>
      </w:r>
    </w:p>
    <w:p w14:paraId="2003F7CF" w14:textId="7DA10BA0" w:rsidR="002D399E" w:rsidRDefault="002D399E" w:rsidP="0012737B">
      <w:pPr>
        <w:pStyle w:val="Caption"/>
      </w:pPr>
      <w:r>
        <w:lastRenderedPageBreak/>
        <w:t xml:space="preserve">Table </w:t>
      </w:r>
      <w:r>
        <w:fldChar w:fldCharType="begin"/>
      </w:r>
      <w:r>
        <w:instrText xml:space="preserve"> SEQ Table \* ARABIC </w:instrText>
      </w:r>
      <w:r>
        <w:fldChar w:fldCharType="separate"/>
      </w:r>
      <w:r>
        <w:rPr>
          <w:noProof/>
        </w:rPr>
        <w:t>1</w:t>
      </w:r>
      <w:r>
        <w:fldChar w:fldCharType="end"/>
      </w:r>
      <w:r>
        <w:t xml:space="preserve"> - PESTLE Factors and how they influence commissioner decision making</w:t>
      </w:r>
    </w:p>
    <w:tbl>
      <w:tblPr>
        <w:tblStyle w:val="GridTable4-Accent1"/>
        <w:tblW w:w="0" w:type="auto"/>
        <w:tblLook w:val="04A0" w:firstRow="1" w:lastRow="0" w:firstColumn="1" w:lastColumn="0" w:noHBand="0" w:noVBand="1"/>
      </w:tblPr>
      <w:tblGrid>
        <w:gridCol w:w="1838"/>
        <w:gridCol w:w="7178"/>
        <w:gridCol w:w="45"/>
      </w:tblGrid>
      <w:tr w:rsidR="004A20F0" w:rsidRPr="005B57DB" w14:paraId="1C7CA48B" w14:textId="77777777" w:rsidTr="6002C6A8">
        <w:trPr>
          <w:gridAfter w:val="1"/>
          <w:cnfStyle w:val="100000000000" w:firstRow="1" w:lastRow="0" w:firstColumn="0" w:lastColumn="0" w:oddVBand="0" w:evenVBand="0" w:oddHBand="0" w:evenHBand="0" w:firstRowFirstColumn="0" w:firstRowLastColumn="0" w:lastRowFirstColumn="0" w:lastRowLastColumn="0"/>
          <w:wAfter w:w="45" w:type="dxa"/>
        </w:trPr>
        <w:tc>
          <w:tcPr>
            <w:cnfStyle w:val="001000000000" w:firstRow="0" w:lastRow="0" w:firstColumn="1" w:lastColumn="0" w:oddVBand="0" w:evenVBand="0" w:oddHBand="0" w:evenHBand="0" w:firstRowFirstColumn="0" w:firstRowLastColumn="0" w:lastRowFirstColumn="0" w:lastRowLastColumn="0"/>
            <w:tcW w:w="1838" w:type="dxa"/>
          </w:tcPr>
          <w:p w14:paraId="153DFEDF" w14:textId="0995CA0E" w:rsidR="007E7513" w:rsidRPr="0012737B" w:rsidRDefault="007E7513" w:rsidP="0012737B">
            <w:pPr>
              <w:pStyle w:val="EcorysTableHeader"/>
              <w:rPr>
                <w:sz w:val="16"/>
                <w:szCs w:val="22"/>
              </w:rPr>
            </w:pPr>
            <w:r w:rsidRPr="0012737B">
              <w:rPr>
                <w:bCs/>
                <w:sz w:val="16"/>
                <w:szCs w:val="22"/>
              </w:rPr>
              <w:t>PESTLE Factor</w:t>
            </w:r>
          </w:p>
        </w:tc>
        <w:tc>
          <w:tcPr>
            <w:tcW w:w="7178" w:type="dxa"/>
          </w:tcPr>
          <w:p w14:paraId="06676624" w14:textId="2305B5B7" w:rsidR="007E7513" w:rsidRPr="0012737B" w:rsidRDefault="007E7513" w:rsidP="0012737B">
            <w:pPr>
              <w:pStyle w:val="EcorysTableHeader"/>
              <w:cnfStyle w:val="100000000000" w:firstRow="1" w:lastRow="0" w:firstColumn="0" w:lastColumn="0" w:oddVBand="0" w:evenVBand="0" w:oddHBand="0" w:evenHBand="0" w:firstRowFirstColumn="0" w:firstRowLastColumn="0" w:lastRowFirstColumn="0" w:lastRowLastColumn="0"/>
              <w:rPr>
                <w:sz w:val="16"/>
                <w:szCs w:val="22"/>
              </w:rPr>
            </w:pPr>
            <w:r w:rsidRPr="0012737B">
              <w:rPr>
                <w:bCs/>
                <w:sz w:val="16"/>
                <w:szCs w:val="22"/>
              </w:rPr>
              <w:t>How factor influences decision making.</w:t>
            </w:r>
          </w:p>
        </w:tc>
      </w:tr>
      <w:tr w:rsidR="004A20F0" w:rsidRPr="005B57DB" w14:paraId="2BCE8DC2" w14:textId="77777777" w:rsidTr="6002C6A8">
        <w:trPr>
          <w:gridAfter w:val="1"/>
          <w:cnfStyle w:val="000000100000" w:firstRow="0" w:lastRow="0" w:firstColumn="0" w:lastColumn="0" w:oddVBand="0" w:evenVBand="0" w:oddHBand="1" w:evenHBand="0" w:firstRowFirstColumn="0" w:firstRowLastColumn="0" w:lastRowFirstColumn="0" w:lastRowLastColumn="0"/>
          <w:wAfter w:w="45" w:type="dxa"/>
        </w:trPr>
        <w:tc>
          <w:tcPr>
            <w:cnfStyle w:val="001000000000" w:firstRow="0" w:lastRow="0" w:firstColumn="1" w:lastColumn="0" w:oddVBand="0" w:evenVBand="0" w:oddHBand="0" w:evenHBand="0" w:firstRowFirstColumn="0" w:firstRowLastColumn="0" w:lastRowFirstColumn="0" w:lastRowLastColumn="0"/>
            <w:tcW w:w="1838" w:type="dxa"/>
          </w:tcPr>
          <w:p w14:paraId="1682D59E" w14:textId="2F880FC8" w:rsidR="007E7513" w:rsidRPr="0012737B" w:rsidRDefault="007E7513" w:rsidP="0012737B">
            <w:pPr>
              <w:pStyle w:val="EcorysTableBody"/>
              <w:rPr>
                <w:bCs/>
                <w:sz w:val="16"/>
                <w:szCs w:val="22"/>
              </w:rPr>
            </w:pPr>
            <w:r w:rsidRPr="0012737B">
              <w:rPr>
                <w:bCs/>
                <w:sz w:val="16"/>
                <w:szCs w:val="22"/>
              </w:rPr>
              <w:t>Political Factors</w:t>
            </w:r>
          </w:p>
        </w:tc>
        <w:tc>
          <w:tcPr>
            <w:tcW w:w="7178" w:type="dxa"/>
          </w:tcPr>
          <w:p w14:paraId="539F9DFA" w14:textId="210563F5" w:rsidR="007E7513" w:rsidRPr="00AD5659" w:rsidRDefault="6FCF93B7" w:rsidP="001F48EA">
            <w:pPr>
              <w:pStyle w:val="EcorysTableBullet01"/>
              <w:cnfStyle w:val="000000100000" w:firstRow="0" w:lastRow="0" w:firstColumn="0" w:lastColumn="0" w:oddVBand="0" w:evenVBand="0" w:oddHBand="1" w:evenHBand="0" w:firstRowFirstColumn="0" w:firstRowLastColumn="0" w:lastRowFirstColumn="0" w:lastRowLastColumn="0"/>
              <w:rPr>
                <w:sz w:val="16"/>
                <w:szCs w:val="16"/>
              </w:rPr>
            </w:pPr>
            <w:r w:rsidRPr="6002C6A8">
              <w:rPr>
                <w:sz w:val="16"/>
                <w:szCs w:val="16"/>
              </w:rPr>
              <w:t xml:space="preserve">Central government policy has influenced how </w:t>
            </w:r>
            <w:bookmarkStart w:id="4" w:name="_Int_tI4KAHpl"/>
            <w:r w:rsidRPr="6002C6A8">
              <w:rPr>
                <w:sz w:val="16"/>
                <w:szCs w:val="16"/>
              </w:rPr>
              <w:t>commissioners</w:t>
            </w:r>
            <w:bookmarkEnd w:id="4"/>
            <w:r w:rsidRPr="6002C6A8">
              <w:rPr>
                <w:sz w:val="16"/>
                <w:szCs w:val="16"/>
              </w:rPr>
              <w:t xml:space="preserve"> contract social services and the contracting approach they opt for.</w:t>
            </w:r>
            <w:r w:rsidR="2DC8E89D" w:rsidRPr="6002C6A8">
              <w:rPr>
                <w:sz w:val="16"/>
                <w:szCs w:val="16"/>
              </w:rPr>
              <w:t xml:space="preserve"> In particular, the emphasis on outcomes-based and integrated commissioning, have shaped the commissioning environment and local commissioners’ preferences</w:t>
            </w:r>
          </w:p>
          <w:p w14:paraId="25307FA3" w14:textId="7473FCE3" w:rsidR="007E7513" w:rsidRPr="0012737B" w:rsidRDefault="007E7513" w:rsidP="007E7513">
            <w:pPr>
              <w:pStyle w:val="EcorysTableBullet01"/>
              <w:cnfStyle w:val="000000100000" w:firstRow="0" w:lastRow="0" w:firstColumn="0" w:lastColumn="0" w:oddVBand="0" w:evenVBand="0" w:oddHBand="1" w:evenHBand="0" w:firstRowFirstColumn="0" w:firstRowLastColumn="0" w:lastRowFirstColumn="0" w:lastRowLastColumn="0"/>
              <w:rPr>
                <w:sz w:val="16"/>
                <w:szCs w:val="22"/>
              </w:rPr>
            </w:pPr>
            <w:r w:rsidRPr="0012737B">
              <w:rPr>
                <w:sz w:val="16"/>
                <w:szCs w:val="22"/>
              </w:rPr>
              <w:t>Consistent and transparent commissioning framework</w:t>
            </w:r>
            <w:r w:rsidR="00AD5659">
              <w:rPr>
                <w:sz w:val="16"/>
                <w:szCs w:val="22"/>
              </w:rPr>
              <w:t>s, developed at national and local levels, helps</w:t>
            </w:r>
            <w:r w:rsidRPr="0012737B">
              <w:rPr>
                <w:sz w:val="16"/>
                <w:szCs w:val="22"/>
              </w:rPr>
              <w:t xml:space="preserve"> improve</w:t>
            </w:r>
            <w:r w:rsidR="00AD5659">
              <w:rPr>
                <w:sz w:val="16"/>
                <w:szCs w:val="22"/>
              </w:rPr>
              <w:t xml:space="preserve"> LAs’</w:t>
            </w:r>
            <w:r w:rsidRPr="0012737B">
              <w:rPr>
                <w:sz w:val="16"/>
                <w:szCs w:val="22"/>
              </w:rPr>
              <w:t xml:space="preserve"> </w:t>
            </w:r>
            <w:r w:rsidR="00AD5659">
              <w:rPr>
                <w:sz w:val="16"/>
                <w:szCs w:val="22"/>
              </w:rPr>
              <w:t>ability to procure</w:t>
            </w:r>
            <w:r w:rsidRPr="0012737B">
              <w:rPr>
                <w:sz w:val="16"/>
                <w:szCs w:val="22"/>
              </w:rPr>
              <w:t xml:space="preserve"> high quality services and </w:t>
            </w:r>
            <w:r w:rsidR="00AD5659">
              <w:rPr>
                <w:sz w:val="16"/>
                <w:szCs w:val="22"/>
              </w:rPr>
              <w:t xml:space="preserve">achieve </w:t>
            </w:r>
            <w:r w:rsidRPr="0012737B">
              <w:rPr>
                <w:sz w:val="16"/>
                <w:szCs w:val="22"/>
              </w:rPr>
              <w:t>value for money.</w:t>
            </w:r>
          </w:p>
          <w:p w14:paraId="3449BE81" w14:textId="08717326" w:rsidR="007E7513" w:rsidRPr="0012737B" w:rsidRDefault="00AD5659" w:rsidP="009744BD">
            <w:pPr>
              <w:pStyle w:val="EcorysTableBullet01"/>
              <w:cnfStyle w:val="000000100000" w:firstRow="0" w:lastRow="0" w:firstColumn="0" w:lastColumn="0" w:oddVBand="0" w:evenVBand="0" w:oddHBand="1" w:evenHBand="0" w:firstRowFirstColumn="0" w:firstRowLastColumn="0" w:lastRowFirstColumn="0" w:lastRowLastColumn="0"/>
              <w:rPr>
                <w:sz w:val="16"/>
                <w:szCs w:val="22"/>
              </w:rPr>
            </w:pPr>
            <w:r w:rsidRPr="00AD5659">
              <w:rPr>
                <w:sz w:val="16"/>
              </w:rPr>
              <w:t>Local political dynamics, such as the views and priorities of elected officials, may influence commissioning decisions but limited evidence on them affecting contracting decisions</w:t>
            </w:r>
          </w:p>
        </w:tc>
      </w:tr>
      <w:tr w:rsidR="004A20F0" w:rsidRPr="005B57DB" w14:paraId="58EE1BA4" w14:textId="77777777" w:rsidTr="6002C6A8">
        <w:trPr>
          <w:trHeight w:val="983"/>
        </w:trPr>
        <w:tc>
          <w:tcPr>
            <w:cnfStyle w:val="001000000000" w:firstRow="0" w:lastRow="0" w:firstColumn="1" w:lastColumn="0" w:oddVBand="0" w:evenVBand="0" w:oddHBand="0" w:evenHBand="0" w:firstRowFirstColumn="0" w:firstRowLastColumn="0" w:lastRowFirstColumn="0" w:lastRowLastColumn="0"/>
            <w:tcW w:w="1838" w:type="dxa"/>
          </w:tcPr>
          <w:p w14:paraId="7B9F88AA" w14:textId="41127AFE" w:rsidR="007E7513" w:rsidRPr="0012737B" w:rsidRDefault="007E7513" w:rsidP="0012737B">
            <w:pPr>
              <w:pStyle w:val="EcorysTableBody"/>
              <w:rPr>
                <w:sz w:val="16"/>
                <w:szCs w:val="22"/>
              </w:rPr>
            </w:pPr>
            <w:r w:rsidRPr="0012737B">
              <w:rPr>
                <w:bCs/>
                <w:sz w:val="16"/>
                <w:szCs w:val="22"/>
              </w:rPr>
              <w:t>Economic Factors</w:t>
            </w:r>
          </w:p>
        </w:tc>
        <w:tc>
          <w:tcPr>
            <w:tcW w:w="7223" w:type="dxa"/>
            <w:gridSpan w:val="2"/>
          </w:tcPr>
          <w:p w14:paraId="2E41646E" w14:textId="61CEA87E" w:rsidR="007E7513" w:rsidRPr="0012737B" w:rsidRDefault="44BBF259" w:rsidP="007E7513">
            <w:pPr>
              <w:pStyle w:val="EcorysTableBullet01"/>
              <w:cnfStyle w:val="000000000000" w:firstRow="0" w:lastRow="0" w:firstColumn="0" w:lastColumn="0" w:oddVBand="0" w:evenVBand="0" w:oddHBand="0" w:evenHBand="0" w:firstRowFirstColumn="0" w:firstRowLastColumn="0" w:lastRowFirstColumn="0" w:lastRowLastColumn="0"/>
              <w:rPr>
                <w:sz w:val="16"/>
                <w:szCs w:val="16"/>
              </w:rPr>
            </w:pPr>
            <w:r w:rsidRPr="6002C6A8">
              <w:rPr>
                <w:sz w:val="16"/>
                <w:szCs w:val="16"/>
              </w:rPr>
              <w:t>Research with commissioners highlighted that at the time of reporting, government budget reductions have posed s</w:t>
            </w:r>
            <w:r w:rsidR="6FCF93B7" w:rsidRPr="6002C6A8">
              <w:rPr>
                <w:sz w:val="16"/>
                <w:szCs w:val="16"/>
              </w:rPr>
              <w:t>ignificant challenges</w:t>
            </w:r>
            <w:r w:rsidRPr="6002C6A8">
              <w:rPr>
                <w:sz w:val="16"/>
                <w:szCs w:val="16"/>
              </w:rPr>
              <w:t xml:space="preserve"> to </w:t>
            </w:r>
            <w:r w:rsidR="097BD656" w:rsidRPr="6002C6A8">
              <w:rPr>
                <w:sz w:val="16"/>
                <w:szCs w:val="16"/>
              </w:rPr>
              <w:t>LA (Local Authorities)</w:t>
            </w:r>
            <w:r w:rsidRPr="6002C6A8">
              <w:rPr>
                <w:sz w:val="16"/>
                <w:szCs w:val="16"/>
              </w:rPr>
              <w:t xml:space="preserve"> commissioning decision-making and propensity to opt for </w:t>
            </w:r>
            <w:r w:rsidR="71C1472C" w:rsidRPr="6002C6A8">
              <w:rPr>
                <w:sz w:val="16"/>
                <w:szCs w:val="16"/>
              </w:rPr>
              <w:t>alternative</w:t>
            </w:r>
            <w:r w:rsidRPr="6002C6A8">
              <w:rPr>
                <w:sz w:val="16"/>
                <w:szCs w:val="16"/>
              </w:rPr>
              <w:t xml:space="preserve"> or more complex funding decisions</w:t>
            </w:r>
            <w:r w:rsidR="16634E1B" w:rsidRPr="6002C6A8">
              <w:rPr>
                <w:sz w:val="16"/>
                <w:szCs w:val="16"/>
              </w:rPr>
              <w:t xml:space="preserve"> </w:t>
            </w:r>
          </w:p>
          <w:p w14:paraId="324AEBDA" w14:textId="08F0F3A3" w:rsidR="007E7513" w:rsidRPr="0012737B" w:rsidRDefault="00EA3A15" w:rsidP="0012737B">
            <w:pPr>
              <w:pStyle w:val="EcorysTableBullet01"/>
              <w:cnfStyle w:val="000000000000" w:firstRow="0" w:lastRow="0" w:firstColumn="0" w:lastColumn="0" w:oddVBand="0" w:evenVBand="0" w:oddHBand="0" w:evenHBand="0" w:firstRowFirstColumn="0" w:firstRowLastColumn="0" w:lastRowFirstColumn="0" w:lastRowLastColumn="0"/>
              <w:rPr>
                <w:sz w:val="16"/>
                <w:szCs w:val="22"/>
              </w:rPr>
            </w:pPr>
            <w:r>
              <w:rPr>
                <w:sz w:val="16"/>
                <w:szCs w:val="22"/>
              </w:rPr>
              <w:t>However, in the past, there has been evidence that w</w:t>
            </w:r>
            <w:r w:rsidR="007E7513" w:rsidRPr="0012737B">
              <w:rPr>
                <w:sz w:val="16"/>
                <w:szCs w:val="22"/>
              </w:rPr>
              <w:t>here funding has decreased, LAs have tried to secure external and upfront sources of funding</w:t>
            </w:r>
            <w:r>
              <w:rPr>
                <w:sz w:val="16"/>
                <w:szCs w:val="22"/>
              </w:rPr>
              <w:t xml:space="preserve"> to help with both the set-up of complex contracts, as well as the initial costs of delivering services</w:t>
            </w:r>
            <w:r w:rsidR="007E7513" w:rsidRPr="0012737B">
              <w:rPr>
                <w:sz w:val="16"/>
                <w:szCs w:val="22"/>
              </w:rPr>
              <w:t>.</w:t>
            </w:r>
          </w:p>
        </w:tc>
      </w:tr>
      <w:tr w:rsidR="004A20F0" w:rsidRPr="005B57DB" w14:paraId="6D403FBC" w14:textId="77777777" w:rsidTr="6002C6A8">
        <w:trPr>
          <w:gridAfter w:val="1"/>
          <w:cnfStyle w:val="000000100000" w:firstRow="0" w:lastRow="0" w:firstColumn="0" w:lastColumn="0" w:oddVBand="0" w:evenVBand="0" w:oddHBand="1" w:evenHBand="0" w:firstRowFirstColumn="0" w:firstRowLastColumn="0" w:lastRowFirstColumn="0" w:lastRowLastColumn="0"/>
          <w:wAfter w:w="45" w:type="dxa"/>
        </w:trPr>
        <w:tc>
          <w:tcPr>
            <w:cnfStyle w:val="001000000000" w:firstRow="0" w:lastRow="0" w:firstColumn="1" w:lastColumn="0" w:oddVBand="0" w:evenVBand="0" w:oddHBand="0" w:evenHBand="0" w:firstRowFirstColumn="0" w:firstRowLastColumn="0" w:lastRowFirstColumn="0" w:lastRowLastColumn="0"/>
            <w:tcW w:w="1838" w:type="dxa"/>
          </w:tcPr>
          <w:p w14:paraId="5C4E0E76" w14:textId="2A735EAB" w:rsidR="007E7513" w:rsidRPr="0012737B" w:rsidRDefault="007E7513" w:rsidP="0012737B">
            <w:pPr>
              <w:pStyle w:val="EcorysTableBody"/>
              <w:rPr>
                <w:sz w:val="16"/>
                <w:szCs w:val="22"/>
              </w:rPr>
            </w:pPr>
            <w:r w:rsidRPr="0012737B">
              <w:rPr>
                <w:bCs/>
                <w:sz w:val="16"/>
                <w:szCs w:val="22"/>
              </w:rPr>
              <w:t>Sociological Factors</w:t>
            </w:r>
          </w:p>
        </w:tc>
        <w:tc>
          <w:tcPr>
            <w:tcW w:w="7178" w:type="dxa"/>
          </w:tcPr>
          <w:p w14:paraId="39196A89" w14:textId="1EBF637F" w:rsidR="007E7513" w:rsidRPr="0012737B" w:rsidRDefault="00EA3A15" w:rsidP="007E7513">
            <w:pPr>
              <w:pStyle w:val="EcorysTableBullet01"/>
              <w:cnfStyle w:val="000000100000" w:firstRow="0" w:lastRow="0" w:firstColumn="0" w:lastColumn="0" w:oddVBand="0" w:evenVBand="0" w:oddHBand="1" w:evenHBand="0" w:firstRowFirstColumn="0" w:firstRowLastColumn="0" w:lastRowFirstColumn="0" w:lastRowLastColumn="0"/>
              <w:rPr>
                <w:sz w:val="16"/>
                <w:szCs w:val="22"/>
              </w:rPr>
            </w:pPr>
            <w:r>
              <w:rPr>
                <w:sz w:val="16"/>
                <w:szCs w:val="22"/>
              </w:rPr>
              <w:t>Commissioners’ decisions are affected by i</w:t>
            </w:r>
            <w:r w:rsidR="007E7513" w:rsidRPr="0012737B">
              <w:rPr>
                <w:sz w:val="16"/>
                <w:szCs w:val="22"/>
              </w:rPr>
              <w:t>ncreasing frequency and complexity of service user needs.</w:t>
            </w:r>
          </w:p>
          <w:p w14:paraId="27527EDE" w14:textId="11A07C1A" w:rsidR="007E7513" w:rsidRPr="0012737B" w:rsidRDefault="6FCF93B7" w:rsidP="007E7513">
            <w:pPr>
              <w:pStyle w:val="EcorysTableBullet01"/>
              <w:cnfStyle w:val="000000100000" w:firstRow="0" w:lastRow="0" w:firstColumn="0" w:lastColumn="0" w:oddVBand="0" w:evenVBand="0" w:oddHBand="1" w:evenHBand="0" w:firstRowFirstColumn="0" w:firstRowLastColumn="0" w:lastRowFirstColumn="0" w:lastRowLastColumn="0"/>
              <w:rPr>
                <w:sz w:val="16"/>
                <w:szCs w:val="16"/>
              </w:rPr>
            </w:pPr>
            <w:r w:rsidRPr="6002C6A8">
              <w:rPr>
                <w:sz w:val="16"/>
                <w:szCs w:val="16"/>
              </w:rPr>
              <w:t xml:space="preserve">Locality/rurality, levels of deprivation, average </w:t>
            </w:r>
            <w:r w:rsidR="20985A10" w:rsidRPr="6002C6A8">
              <w:rPr>
                <w:sz w:val="16"/>
                <w:szCs w:val="16"/>
              </w:rPr>
              <w:t>age,</w:t>
            </w:r>
            <w:r w:rsidRPr="6002C6A8">
              <w:rPr>
                <w:sz w:val="16"/>
                <w:szCs w:val="16"/>
              </w:rPr>
              <w:t xml:space="preserve"> and health of the population all influence decision making.</w:t>
            </w:r>
          </w:p>
          <w:p w14:paraId="398D9A36" w14:textId="7C5279F7" w:rsidR="008E0722" w:rsidRPr="0012737B" w:rsidRDefault="00EA3A15" w:rsidP="009744BD">
            <w:pPr>
              <w:pStyle w:val="EcorysTableBullet01"/>
              <w:cnfStyle w:val="000000100000" w:firstRow="0" w:lastRow="0" w:firstColumn="0" w:lastColumn="0" w:oddVBand="0" w:evenVBand="0" w:oddHBand="1" w:evenHBand="0" w:firstRowFirstColumn="0" w:firstRowLastColumn="0" w:lastRowFirstColumn="0" w:lastRowLastColumn="0"/>
              <w:rPr>
                <w:sz w:val="16"/>
                <w:szCs w:val="22"/>
              </w:rPr>
            </w:pPr>
            <w:r w:rsidRPr="00EA3A15">
              <w:rPr>
                <w:sz w:val="16"/>
              </w:rPr>
              <w:t>Individual attitudes and extent of collaborative culture among commissioners and other stakeholders may enable or hinder the adoption of new or innovative contracting approaches</w:t>
            </w:r>
            <w:r>
              <w:rPr>
                <w:sz w:val="16"/>
              </w:rPr>
              <w:t>.</w:t>
            </w:r>
          </w:p>
        </w:tc>
      </w:tr>
      <w:tr w:rsidR="004A20F0" w:rsidRPr="005B57DB" w14:paraId="7E22D9E4" w14:textId="77777777" w:rsidTr="6002C6A8">
        <w:tc>
          <w:tcPr>
            <w:cnfStyle w:val="001000000000" w:firstRow="0" w:lastRow="0" w:firstColumn="1" w:lastColumn="0" w:oddVBand="0" w:evenVBand="0" w:oddHBand="0" w:evenHBand="0" w:firstRowFirstColumn="0" w:firstRowLastColumn="0" w:lastRowFirstColumn="0" w:lastRowLastColumn="0"/>
            <w:tcW w:w="1838" w:type="dxa"/>
          </w:tcPr>
          <w:p w14:paraId="2DBBF88C" w14:textId="5F3453FD" w:rsidR="007E7513" w:rsidRPr="0012737B" w:rsidRDefault="007E7513" w:rsidP="0012737B">
            <w:pPr>
              <w:pStyle w:val="EcorysTableBody"/>
              <w:rPr>
                <w:sz w:val="16"/>
                <w:szCs w:val="22"/>
              </w:rPr>
            </w:pPr>
            <w:r w:rsidRPr="0012737B">
              <w:rPr>
                <w:bCs/>
                <w:sz w:val="16"/>
                <w:szCs w:val="22"/>
              </w:rPr>
              <w:t>Technological Factors</w:t>
            </w:r>
          </w:p>
        </w:tc>
        <w:tc>
          <w:tcPr>
            <w:tcW w:w="7223" w:type="dxa"/>
            <w:gridSpan w:val="2"/>
          </w:tcPr>
          <w:p w14:paraId="1F3AF0F9" w14:textId="031DFEB5" w:rsidR="007E7513" w:rsidRPr="0012737B" w:rsidRDefault="00EA3A15" w:rsidP="0012737B">
            <w:pPr>
              <w:pStyle w:val="EcorysTableBullet01"/>
              <w:cnfStyle w:val="000000000000" w:firstRow="0" w:lastRow="0" w:firstColumn="0" w:lastColumn="0" w:oddVBand="0" w:evenVBand="0" w:oddHBand="0" w:evenHBand="0" w:firstRowFirstColumn="0" w:firstRowLastColumn="0" w:lastRowFirstColumn="0" w:lastRowLastColumn="0"/>
              <w:rPr>
                <w:sz w:val="16"/>
                <w:szCs w:val="22"/>
              </w:rPr>
            </w:pPr>
            <w:r>
              <w:rPr>
                <w:sz w:val="16"/>
                <w:szCs w:val="22"/>
              </w:rPr>
              <w:t>Overall, limited evidence on the role of technological factors, but evidence indicates that a</w:t>
            </w:r>
            <w:r w:rsidR="008E0722" w:rsidRPr="0012737B">
              <w:rPr>
                <w:sz w:val="16"/>
                <w:szCs w:val="22"/>
              </w:rPr>
              <w:t>doption of data collection and data sharing systems is crucial to support innovation</w:t>
            </w:r>
            <w:r>
              <w:rPr>
                <w:sz w:val="16"/>
                <w:szCs w:val="22"/>
              </w:rPr>
              <w:t xml:space="preserve"> in contracting</w:t>
            </w:r>
            <w:r w:rsidR="008E0722" w:rsidRPr="0012737B">
              <w:rPr>
                <w:sz w:val="16"/>
                <w:szCs w:val="22"/>
              </w:rPr>
              <w:t xml:space="preserve"> and successful delivery.</w:t>
            </w:r>
          </w:p>
        </w:tc>
      </w:tr>
      <w:tr w:rsidR="004A20F0" w:rsidRPr="005B57DB" w14:paraId="792227DC" w14:textId="77777777" w:rsidTr="6002C6A8">
        <w:trPr>
          <w:gridAfter w:val="1"/>
          <w:cnfStyle w:val="000000100000" w:firstRow="0" w:lastRow="0" w:firstColumn="0" w:lastColumn="0" w:oddVBand="0" w:evenVBand="0" w:oddHBand="1" w:evenHBand="0" w:firstRowFirstColumn="0" w:firstRowLastColumn="0" w:lastRowFirstColumn="0" w:lastRowLastColumn="0"/>
          <w:wAfter w:w="45" w:type="dxa"/>
        </w:trPr>
        <w:tc>
          <w:tcPr>
            <w:cnfStyle w:val="001000000000" w:firstRow="0" w:lastRow="0" w:firstColumn="1" w:lastColumn="0" w:oddVBand="0" w:evenVBand="0" w:oddHBand="0" w:evenHBand="0" w:firstRowFirstColumn="0" w:firstRowLastColumn="0" w:lastRowFirstColumn="0" w:lastRowLastColumn="0"/>
            <w:tcW w:w="1838" w:type="dxa"/>
          </w:tcPr>
          <w:p w14:paraId="02132030" w14:textId="24DE71AE" w:rsidR="007E7513" w:rsidRPr="0012737B" w:rsidRDefault="007E7513" w:rsidP="0012737B">
            <w:pPr>
              <w:pStyle w:val="EcorysTableBody"/>
              <w:rPr>
                <w:sz w:val="16"/>
                <w:szCs w:val="22"/>
              </w:rPr>
            </w:pPr>
            <w:r w:rsidRPr="0012737B">
              <w:rPr>
                <w:bCs/>
                <w:sz w:val="16"/>
                <w:szCs w:val="22"/>
              </w:rPr>
              <w:t>Legal Factors</w:t>
            </w:r>
          </w:p>
        </w:tc>
        <w:tc>
          <w:tcPr>
            <w:tcW w:w="7178" w:type="dxa"/>
          </w:tcPr>
          <w:p w14:paraId="2030782C" w14:textId="19384A03" w:rsidR="007E7513" w:rsidRPr="0012737B" w:rsidRDefault="005B57DB" w:rsidP="008E0722">
            <w:pPr>
              <w:pStyle w:val="EcorysTableBullet01"/>
              <w:cnfStyle w:val="000000100000" w:firstRow="0" w:lastRow="0" w:firstColumn="0" w:lastColumn="0" w:oddVBand="0" w:evenVBand="0" w:oddHBand="1" w:evenHBand="0" w:firstRowFirstColumn="0" w:firstRowLastColumn="0" w:lastRowFirstColumn="0" w:lastRowLastColumn="0"/>
              <w:rPr>
                <w:sz w:val="16"/>
                <w:szCs w:val="22"/>
              </w:rPr>
            </w:pPr>
            <w:r w:rsidRPr="0012737B">
              <w:rPr>
                <w:sz w:val="16"/>
                <w:szCs w:val="22"/>
              </w:rPr>
              <w:t xml:space="preserve">Statutory duties of LAs in specific policy areas </w:t>
            </w:r>
            <w:r w:rsidR="00EA3A15">
              <w:rPr>
                <w:sz w:val="16"/>
                <w:szCs w:val="22"/>
              </w:rPr>
              <w:t xml:space="preserve">often </w:t>
            </w:r>
            <w:r w:rsidRPr="0012737B">
              <w:rPr>
                <w:sz w:val="16"/>
                <w:szCs w:val="22"/>
              </w:rPr>
              <w:t>define</w:t>
            </w:r>
            <w:r w:rsidR="00EA3A15">
              <w:rPr>
                <w:sz w:val="16"/>
                <w:szCs w:val="22"/>
              </w:rPr>
              <w:t xml:space="preserve"> their</w:t>
            </w:r>
            <w:r w:rsidRPr="0012737B">
              <w:rPr>
                <w:sz w:val="16"/>
                <w:szCs w:val="22"/>
              </w:rPr>
              <w:t xml:space="preserve"> commission</w:t>
            </w:r>
            <w:r w:rsidR="00EA3A15">
              <w:rPr>
                <w:sz w:val="16"/>
                <w:szCs w:val="22"/>
              </w:rPr>
              <w:t>ing</w:t>
            </w:r>
            <w:r w:rsidRPr="0012737B">
              <w:rPr>
                <w:sz w:val="16"/>
                <w:szCs w:val="22"/>
              </w:rPr>
              <w:t xml:space="preserve"> approach.</w:t>
            </w:r>
          </w:p>
          <w:p w14:paraId="32C68EA8" w14:textId="30C1108A" w:rsidR="005B57DB" w:rsidRPr="0012737B" w:rsidRDefault="005B57DB" w:rsidP="0012737B">
            <w:pPr>
              <w:pStyle w:val="EcorysTableBullet01"/>
              <w:cnfStyle w:val="000000100000" w:firstRow="0" w:lastRow="0" w:firstColumn="0" w:lastColumn="0" w:oddVBand="0" w:evenVBand="0" w:oddHBand="1" w:evenHBand="0" w:firstRowFirstColumn="0" w:firstRowLastColumn="0" w:lastRowFirstColumn="0" w:lastRowLastColumn="0"/>
              <w:rPr>
                <w:sz w:val="16"/>
                <w:szCs w:val="22"/>
              </w:rPr>
            </w:pPr>
            <w:r w:rsidRPr="0012737B">
              <w:rPr>
                <w:sz w:val="16"/>
                <w:szCs w:val="22"/>
              </w:rPr>
              <w:t>Procurement and contract laws sometimes introduce additional barriers for commissioners</w:t>
            </w:r>
            <w:r w:rsidR="00EA3A15">
              <w:rPr>
                <w:sz w:val="16"/>
                <w:szCs w:val="22"/>
              </w:rPr>
              <w:t>, thus affecting their choice of contracting approach</w:t>
            </w:r>
          </w:p>
        </w:tc>
      </w:tr>
      <w:tr w:rsidR="004A20F0" w:rsidRPr="005B57DB" w14:paraId="75645A73" w14:textId="77777777" w:rsidTr="6002C6A8">
        <w:tc>
          <w:tcPr>
            <w:cnfStyle w:val="001000000000" w:firstRow="0" w:lastRow="0" w:firstColumn="1" w:lastColumn="0" w:oddVBand="0" w:evenVBand="0" w:oddHBand="0" w:evenHBand="0" w:firstRowFirstColumn="0" w:firstRowLastColumn="0" w:lastRowFirstColumn="0" w:lastRowLastColumn="0"/>
            <w:tcW w:w="1838" w:type="dxa"/>
          </w:tcPr>
          <w:p w14:paraId="002B8765" w14:textId="0B93776E" w:rsidR="007E7513" w:rsidRPr="0012737B" w:rsidRDefault="007E7513" w:rsidP="0012737B">
            <w:pPr>
              <w:pStyle w:val="EcorysTableBody"/>
              <w:rPr>
                <w:sz w:val="16"/>
                <w:szCs w:val="22"/>
              </w:rPr>
            </w:pPr>
            <w:r w:rsidRPr="0012737B">
              <w:rPr>
                <w:bCs/>
                <w:sz w:val="16"/>
                <w:szCs w:val="22"/>
              </w:rPr>
              <w:t>Environmental Factors</w:t>
            </w:r>
          </w:p>
        </w:tc>
        <w:tc>
          <w:tcPr>
            <w:tcW w:w="7223" w:type="dxa"/>
            <w:gridSpan w:val="2"/>
          </w:tcPr>
          <w:p w14:paraId="20F5D6D4" w14:textId="05AC2DBA" w:rsidR="007E7513" w:rsidRPr="0012737B" w:rsidRDefault="005B57DB" w:rsidP="0012737B">
            <w:pPr>
              <w:pStyle w:val="EcorysTableBullet01"/>
              <w:cnfStyle w:val="000000000000" w:firstRow="0" w:lastRow="0" w:firstColumn="0" w:lastColumn="0" w:oddVBand="0" w:evenVBand="0" w:oddHBand="0" w:evenHBand="0" w:firstRowFirstColumn="0" w:firstRowLastColumn="0" w:lastRowFirstColumn="0" w:lastRowLastColumn="0"/>
              <w:rPr>
                <w:sz w:val="16"/>
                <w:szCs w:val="22"/>
              </w:rPr>
            </w:pPr>
            <w:r w:rsidRPr="0012737B">
              <w:rPr>
                <w:sz w:val="16"/>
                <w:szCs w:val="22"/>
              </w:rPr>
              <w:t>At the time of reporting,</w:t>
            </w:r>
            <w:r w:rsidR="00EA3A15">
              <w:rPr>
                <w:sz w:val="16"/>
                <w:szCs w:val="22"/>
              </w:rPr>
              <w:t xml:space="preserve"> available evidence indicated that</w:t>
            </w:r>
            <w:r w:rsidRPr="0012737B">
              <w:rPr>
                <w:sz w:val="16"/>
                <w:szCs w:val="22"/>
              </w:rPr>
              <w:t xml:space="preserve"> environmental factors do not play a significant role in shaping local government commissioning decisions.</w:t>
            </w:r>
          </w:p>
        </w:tc>
      </w:tr>
      <w:tr w:rsidR="004A20F0" w:rsidRPr="005B57DB" w14:paraId="22E771CA" w14:textId="77777777" w:rsidTr="6002C6A8">
        <w:trPr>
          <w:gridAfter w:val="1"/>
          <w:cnfStyle w:val="000000100000" w:firstRow="0" w:lastRow="0" w:firstColumn="0" w:lastColumn="0" w:oddVBand="0" w:evenVBand="0" w:oddHBand="1" w:evenHBand="0" w:firstRowFirstColumn="0" w:firstRowLastColumn="0" w:lastRowFirstColumn="0" w:lastRowLastColumn="0"/>
          <w:wAfter w:w="45" w:type="dxa"/>
        </w:trPr>
        <w:tc>
          <w:tcPr>
            <w:cnfStyle w:val="001000000000" w:firstRow="0" w:lastRow="0" w:firstColumn="1" w:lastColumn="0" w:oddVBand="0" w:evenVBand="0" w:oddHBand="0" w:evenHBand="0" w:firstRowFirstColumn="0" w:firstRowLastColumn="0" w:lastRowFirstColumn="0" w:lastRowLastColumn="0"/>
            <w:tcW w:w="1838" w:type="dxa"/>
          </w:tcPr>
          <w:p w14:paraId="223F101D" w14:textId="050FB014" w:rsidR="007E7513" w:rsidRPr="0012737B" w:rsidRDefault="007E7513" w:rsidP="0012737B">
            <w:pPr>
              <w:pStyle w:val="EcorysTableBody"/>
              <w:rPr>
                <w:sz w:val="16"/>
                <w:szCs w:val="22"/>
              </w:rPr>
            </w:pPr>
            <w:r w:rsidRPr="0012737B">
              <w:rPr>
                <w:bCs/>
                <w:sz w:val="16"/>
                <w:szCs w:val="22"/>
              </w:rPr>
              <w:t>Other Factors</w:t>
            </w:r>
          </w:p>
        </w:tc>
        <w:tc>
          <w:tcPr>
            <w:tcW w:w="7178" w:type="dxa"/>
          </w:tcPr>
          <w:p w14:paraId="6859E4A0" w14:textId="79A44D1B" w:rsidR="007E7513" w:rsidRPr="0012737B" w:rsidRDefault="005B57DB" w:rsidP="0012737B">
            <w:pPr>
              <w:pStyle w:val="EcorysTableBullet01"/>
              <w:cnfStyle w:val="000000100000" w:firstRow="0" w:lastRow="0" w:firstColumn="0" w:lastColumn="0" w:oddVBand="0" w:evenVBand="0" w:oddHBand="1" w:evenHBand="0" w:firstRowFirstColumn="0" w:firstRowLastColumn="0" w:lastRowFirstColumn="0" w:lastRowLastColumn="0"/>
              <w:rPr>
                <w:sz w:val="16"/>
                <w:szCs w:val="16"/>
              </w:rPr>
            </w:pPr>
            <w:r w:rsidRPr="0012737B">
              <w:rPr>
                <w:sz w:val="16"/>
                <w:szCs w:val="16"/>
              </w:rPr>
              <w:t>Other factors</w:t>
            </w:r>
            <w:r w:rsidR="00EA3A15">
              <w:rPr>
                <w:sz w:val="16"/>
                <w:szCs w:val="16"/>
              </w:rPr>
              <w:t xml:space="preserve"> shaping decision-making</w:t>
            </w:r>
            <w:r w:rsidRPr="0012737B">
              <w:rPr>
                <w:sz w:val="16"/>
                <w:szCs w:val="16"/>
              </w:rPr>
              <w:t xml:space="preserve"> </w:t>
            </w:r>
            <w:r w:rsidR="00EA3A15">
              <w:rPr>
                <w:sz w:val="16"/>
                <w:szCs w:val="16"/>
              </w:rPr>
              <w:t>relate to the extent of</w:t>
            </w:r>
            <w:r>
              <w:rPr>
                <w:sz w:val="16"/>
                <w:szCs w:val="16"/>
              </w:rPr>
              <w:t xml:space="preserve"> knowledge sharing, internal leadership, capacity and collaboration with stakeholders.</w:t>
            </w:r>
          </w:p>
        </w:tc>
      </w:tr>
    </w:tbl>
    <w:p w14:paraId="4AC7389B" w14:textId="42F4E455" w:rsidR="002D399E" w:rsidRDefault="009E0602" w:rsidP="002D399E">
      <w:pPr>
        <w:pStyle w:val="EcorysBody"/>
        <w:spacing w:before="240"/>
      </w:pPr>
      <w:r>
        <w:t>To explore the influence of these factors on the choice of contracting approach, o</w:t>
      </w:r>
      <w:r w:rsidR="002D399E" w:rsidRPr="00B35398">
        <w:t xml:space="preserve">ur research questions began with the assumption that commissioners are confronted by, and need to navigate, several factors that shape their decision of which contracting approach to use. </w:t>
      </w:r>
      <w:r w:rsidR="002D399E">
        <w:t xml:space="preserve">While in some of our </w:t>
      </w:r>
      <w:r w:rsidR="00F07878">
        <w:t>interviews with local authorities</w:t>
      </w:r>
      <w:r w:rsidR="002D399E">
        <w:t xml:space="preserve">, </w:t>
      </w:r>
      <w:r w:rsidR="002D399E" w:rsidRPr="0012737B">
        <w:rPr>
          <w:b/>
          <w:bCs/>
        </w:rPr>
        <w:t>commissioners’ decision to use a particular contracting approach was driven primarily by economic, political, and sociological factors</w:t>
      </w:r>
      <w:r w:rsidR="002D399E">
        <w:t xml:space="preserve">, </w:t>
      </w:r>
      <w:r w:rsidR="002D399E" w:rsidRPr="00B35398">
        <w:t xml:space="preserve">our primary research </w:t>
      </w:r>
      <w:r w:rsidR="002D399E">
        <w:t xml:space="preserve">also </w:t>
      </w:r>
      <w:r w:rsidR="002D399E" w:rsidRPr="00B35398">
        <w:t xml:space="preserve">found that </w:t>
      </w:r>
      <w:r w:rsidR="002D399E">
        <w:t>some</w:t>
      </w:r>
      <w:r w:rsidR="002D399E" w:rsidRPr="00B35398">
        <w:t xml:space="preserve"> commissioners </w:t>
      </w:r>
      <w:r w:rsidR="002D399E">
        <w:t xml:space="preserve">instead </w:t>
      </w:r>
      <w:r w:rsidR="002D399E" w:rsidRPr="0012737B">
        <w:rPr>
          <w:b/>
          <w:bCs/>
        </w:rPr>
        <w:t>opted for a contracting approach that they were most familiar with, with few other factors shaping this decision</w:t>
      </w:r>
      <w:r w:rsidR="002D399E">
        <w:t xml:space="preserve">. </w:t>
      </w:r>
    </w:p>
    <w:p w14:paraId="21FB29D1" w14:textId="4DC25C52" w:rsidR="005F692F" w:rsidRDefault="005F692F" w:rsidP="002D399E">
      <w:pPr>
        <w:pStyle w:val="EcorysBody"/>
        <w:spacing w:before="240"/>
      </w:pPr>
      <w:r>
        <w:t>In terms of the findings relating to specific contracting types:</w:t>
      </w:r>
    </w:p>
    <w:p w14:paraId="67C88E96" w14:textId="47E866E5" w:rsidR="003247A8" w:rsidRPr="003247A8" w:rsidRDefault="003247A8" w:rsidP="005F692F">
      <w:pPr>
        <w:pStyle w:val="EcorysBullet01"/>
      </w:pPr>
      <w:r w:rsidRPr="0012737B">
        <w:rPr>
          <w:b/>
          <w:bCs/>
        </w:rPr>
        <w:lastRenderedPageBreak/>
        <w:t>SIBS</w:t>
      </w:r>
      <w:r w:rsidRPr="003247A8">
        <w:t xml:space="preserve">: </w:t>
      </w:r>
      <w:r w:rsidRPr="0012737B">
        <w:rPr>
          <w:b/>
          <w:bCs/>
        </w:rPr>
        <w:t>Economic factors</w:t>
      </w:r>
      <w:r w:rsidRPr="003247A8">
        <w:t xml:space="preserve"> had both a positive and negative influence on choice. </w:t>
      </w:r>
      <w:r w:rsidRPr="0012737B">
        <w:rPr>
          <w:b/>
          <w:bCs/>
        </w:rPr>
        <w:t xml:space="preserve">Significant upfront costs of </w:t>
      </w:r>
      <w:r w:rsidR="00AC48FB">
        <w:rPr>
          <w:b/>
          <w:bCs/>
        </w:rPr>
        <w:t xml:space="preserve">setting up </w:t>
      </w:r>
      <w:r w:rsidRPr="0012737B">
        <w:rPr>
          <w:b/>
          <w:bCs/>
        </w:rPr>
        <w:t>SIBs were</w:t>
      </w:r>
      <w:r w:rsidR="00AC48FB">
        <w:rPr>
          <w:b/>
          <w:bCs/>
        </w:rPr>
        <w:t xml:space="preserve"> viewed as</w:t>
      </w:r>
      <w:r w:rsidRPr="0012737B">
        <w:rPr>
          <w:b/>
          <w:bCs/>
        </w:rPr>
        <w:t xml:space="preserve"> a burden</w:t>
      </w:r>
      <w:r w:rsidRPr="003247A8">
        <w:t>, but it was acknowledged that focus on outcomes</w:t>
      </w:r>
      <w:r w:rsidR="00EC0F85">
        <w:t xml:space="preserve"> often</w:t>
      </w:r>
      <w:r w:rsidRPr="003247A8">
        <w:t xml:space="preserve"> enabled </w:t>
      </w:r>
      <w:r w:rsidRPr="0012737B">
        <w:rPr>
          <w:b/>
          <w:bCs/>
        </w:rPr>
        <w:t>an ‘invest to save’ approach</w:t>
      </w:r>
      <w:r w:rsidRPr="003247A8">
        <w:t>. However,</w:t>
      </w:r>
      <w:r w:rsidR="00EC0F85">
        <w:t xml:space="preserve"> commissioners noted that</w:t>
      </w:r>
      <w:r w:rsidRPr="003247A8">
        <w:t xml:space="preserve"> in</w:t>
      </w:r>
      <w:r w:rsidR="00EC0F85">
        <w:t xml:space="preserve"> the</w:t>
      </w:r>
      <w:r w:rsidRPr="003247A8">
        <w:t xml:space="preserve"> current budget landscape</w:t>
      </w:r>
      <w:r w:rsidR="00EC0F85">
        <w:t xml:space="preserve"> (at the time of reporting)</w:t>
      </w:r>
      <w:r w:rsidRPr="003247A8">
        <w:t>, any cashable savings may be untenable due to high intervention costs</w:t>
      </w:r>
      <w:r w:rsidR="00CF4BA9">
        <w:t>, and thus a SIB may be less feasible to implement.</w:t>
      </w:r>
    </w:p>
    <w:p w14:paraId="1413060F" w14:textId="39C04D1D" w:rsidR="003247A8" w:rsidRPr="003247A8" w:rsidRDefault="003247A8" w:rsidP="005F692F">
      <w:pPr>
        <w:pStyle w:val="EcorysBullet01"/>
      </w:pPr>
      <w:r w:rsidRPr="6002C6A8">
        <w:rPr>
          <w:b/>
          <w:bCs/>
        </w:rPr>
        <w:t>PBR</w:t>
      </w:r>
      <w:r>
        <w:t xml:space="preserve">: </w:t>
      </w:r>
      <w:r w:rsidRPr="6002C6A8">
        <w:rPr>
          <w:b/>
          <w:bCs/>
        </w:rPr>
        <w:t>Economic factors</w:t>
      </w:r>
      <w:r>
        <w:t xml:space="preserve"> such as high upfront costs</w:t>
      </w:r>
      <w:r w:rsidR="00AC48FB">
        <w:t xml:space="preserve"> to set up a contract</w:t>
      </w:r>
      <w:r>
        <w:t xml:space="preserve"> also detracted from </w:t>
      </w:r>
      <w:r w:rsidR="006A1806">
        <w:t xml:space="preserve">the </w:t>
      </w:r>
      <w:r>
        <w:t xml:space="preserve">choice of PBR. Commissioners were also put off </w:t>
      </w:r>
      <w:r w:rsidRPr="6002C6A8">
        <w:rPr>
          <w:b/>
          <w:bCs/>
        </w:rPr>
        <w:t>with perceptions of system gaming and private sector involvement</w:t>
      </w:r>
      <w:r>
        <w:t xml:space="preserve">. That said, those who used a PbR approach felt in practice the </w:t>
      </w:r>
      <w:r w:rsidRPr="6002C6A8">
        <w:rPr>
          <w:b/>
          <w:bCs/>
        </w:rPr>
        <w:t xml:space="preserve">approach helps establish whether a partner organisation is </w:t>
      </w:r>
      <w:bookmarkStart w:id="5" w:name="_Int_mPnfGYvp"/>
      <w:r w:rsidRPr="6002C6A8">
        <w:rPr>
          <w:b/>
          <w:bCs/>
        </w:rPr>
        <w:t>truly interested</w:t>
      </w:r>
      <w:bookmarkEnd w:id="5"/>
      <w:r w:rsidRPr="6002C6A8">
        <w:rPr>
          <w:b/>
          <w:bCs/>
        </w:rPr>
        <w:t xml:space="preserve"> or not in delivering the quality of service</w:t>
      </w:r>
      <w:r>
        <w:t xml:space="preserve"> necessary to achieve the outcomes.</w:t>
      </w:r>
    </w:p>
    <w:p w14:paraId="38DC20B3" w14:textId="215B16EC" w:rsidR="003247A8" w:rsidRPr="003247A8" w:rsidRDefault="003247A8" w:rsidP="005F692F">
      <w:pPr>
        <w:pStyle w:val="EcorysBullet01"/>
      </w:pPr>
      <w:r w:rsidRPr="0012737B">
        <w:rPr>
          <w:b/>
          <w:bCs/>
        </w:rPr>
        <w:t>Alliance</w:t>
      </w:r>
      <w:r w:rsidRPr="003247A8">
        <w:t xml:space="preserve">: Bringing together organisations to maximise the performance of services is often influenced by </w:t>
      </w:r>
      <w:r w:rsidRPr="0012737B">
        <w:rPr>
          <w:b/>
          <w:bCs/>
        </w:rPr>
        <w:t>political factors</w:t>
      </w:r>
      <w:r w:rsidRPr="003247A8">
        <w:t xml:space="preserve">. </w:t>
      </w:r>
      <w:r w:rsidR="0062309A">
        <w:t xml:space="preserve">Our qualitative research found that </w:t>
      </w:r>
      <w:r w:rsidR="0062309A">
        <w:rPr>
          <w:b/>
          <w:bCs/>
        </w:rPr>
        <w:t>b</w:t>
      </w:r>
      <w:r w:rsidRPr="0012737B">
        <w:rPr>
          <w:b/>
          <w:bCs/>
        </w:rPr>
        <w:t>uy-in from senior stakeholders</w:t>
      </w:r>
      <w:r w:rsidRPr="003247A8">
        <w:t xml:space="preserve"> across the alliance was seen as a vital enabler and allowed LAs maximum control.</w:t>
      </w:r>
    </w:p>
    <w:p w14:paraId="6B2B824A" w14:textId="72968D1E" w:rsidR="003247A8" w:rsidRDefault="003247A8" w:rsidP="005F692F">
      <w:pPr>
        <w:pStyle w:val="EcorysBullet01"/>
      </w:pPr>
      <w:r w:rsidRPr="0012737B">
        <w:rPr>
          <w:b/>
          <w:bCs/>
        </w:rPr>
        <w:t>FFS:</w:t>
      </w:r>
      <w:r w:rsidRPr="003247A8">
        <w:t xml:space="preserve"> </w:t>
      </w:r>
      <w:r w:rsidR="0062309A">
        <w:t>Described by some commissioners as t</w:t>
      </w:r>
      <w:r w:rsidRPr="003247A8">
        <w:t xml:space="preserve">he default option for LAs when commissioning services, </w:t>
      </w:r>
      <w:r w:rsidRPr="0012737B">
        <w:rPr>
          <w:b/>
          <w:bCs/>
        </w:rPr>
        <w:t>it is seen as cheaper and quicker</w:t>
      </w:r>
      <w:r w:rsidRPr="003247A8">
        <w:t>. When commissioners use</w:t>
      </w:r>
      <w:r w:rsidR="0062309A">
        <w:t>d</w:t>
      </w:r>
      <w:r w:rsidRPr="003247A8">
        <w:t xml:space="preserve"> FFS, </w:t>
      </w:r>
      <w:r w:rsidR="0062309A">
        <w:t xml:space="preserve">we found that </w:t>
      </w:r>
      <w:r w:rsidRPr="003247A8">
        <w:t xml:space="preserve">the </w:t>
      </w:r>
      <w:r w:rsidRPr="0012737B">
        <w:rPr>
          <w:b/>
          <w:bCs/>
        </w:rPr>
        <w:t>PESTLE factors often d</w:t>
      </w:r>
      <w:r w:rsidR="0062309A">
        <w:rPr>
          <w:b/>
          <w:bCs/>
        </w:rPr>
        <w:t>id</w:t>
      </w:r>
      <w:r w:rsidRPr="0012737B">
        <w:rPr>
          <w:b/>
          <w:bCs/>
        </w:rPr>
        <w:t xml:space="preserve"> not factor</w:t>
      </w:r>
      <w:r w:rsidRPr="003247A8">
        <w:t xml:space="preserve"> in their decision</w:t>
      </w:r>
      <w:r w:rsidR="0062309A">
        <w:t>-</w:t>
      </w:r>
      <w:r w:rsidRPr="003247A8">
        <w:t>making.</w:t>
      </w:r>
    </w:p>
    <w:p w14:paraId="2A201DD6" w14:textId="576F18CB" w:rsidR="003247A8" w:rsidRDefault="003247A8" w:rsidP="003247A8">
      <w:pPr>
        <w:pStyle w:val="EcorysBody"/>
      </w:pPr>
      <w:r>
        <w:t xml:space="preserve">Building on these findings, the report articulates the implications of the </w:t>
      </w:r>
      <w:r w:rsidR="004A20F0">
        <w:t xml:space="preserve">research on </w:t>
      </w:r>
      <w:r>
        <w:t xml:space="preserve">the future of outcomes-based contracting. For example, economic considerations are the primary drivers for commissioning decisions. The pressures on local authority and health budgets have intensified, influencing </w:t>
      </w:r>
      <w:bookmarkStart w:id="6" w:name="_Int_5h5ue6Ij"/>
      <w:r>
        <w:t>whether or not</w:t>
      </w:r>
      <w:bookmarkEnd w:id="6"/>
      <w:r>
        <w:t xml:space="preserve"> to opt for</w:t>
      </w:r>
      <w:r w:rsidR="000172D3">
        <w:t xml:space="preserve"> </w:t>
      </w:r>
      <w:r w:rsidR="00CD553F">
        <w:t>SIBs</w:t>
      </w:r>
      <w:r>
        <w:t>. Economic benefits are scrutini</w:t>
      </w:r>
      <w:r w:rsidR="00CD553F">
        <w:t>s</w:t>
      </w:r>
      <w:r>
        <w:t xml:space="preserve">ed heavily, and financial constraints can lead to decisions </w:t>
      </w:r>
      <w:r w:rsidR="004A20F0">
        <w:t>favouring</w:t>
      </w:r>
      <w:r>
        <w:t xml:space="preserve"> familiar, less complex contracting methods like</w:t>
      </w:r>
      <w:r w:rsidR="32468576">
        <w:t xml:space="preserve"> </w:t>
      </w:r>
      <w:r w:rsidR="00CD553F">
        <w:t>FFS</w:t>
      </w:r>
      <w:r>
        <w:t>.</w:t>
      </w:r>
    </w:p>
    <w:p w14:paraId="0E447458" w14:textId="693AF42B" w:rsidR="003247A8" w:rsidRDefault="003247A8" w:rsidP="003247A8">
      <w:pPr>
        <w:pStyle w:val="EcorysBody"/>
      </w:pPr>
      <w:r>
        <w:t>Furthermore, commissioners must carefully evaluate the potential savings and benefits of a SIB. They need to determine if the projected savings are realistic and sufficient to justify the initial investment. This involves assessing the robustness of savings estimates and the likelihood of achieving the desired outcomes.</w:t>
      </w:r>
    </w:p>
    <w:p w14:paraId="66689DF2" w14:textId="4237BFBC" w:rsidR="003247A8" w:rsidRDefault="003247A8" w:rsidP="003247A8">
      <w:pPr>
        <w:pStyle w:val="EcorysBody"/>
      </w:pPr>
      <w:r>
        <w:t>While economic factors dominate, political and sociological considerations also play a significant role</w:t>
      </w:r>
      <w:r w:rsidR="00BD1499">
        <w:t xml:space="preserve"> in decision-making</w:t>
      </w:r>
      <w:r>
        <w:t xml:space="preserve">. Commissioners must balance these alongside economic benefits to make informed decisions. This involves understanding the broader impact </w:t>
      </w:r>
      <w:r w:rsidR="00BD1499">
        <w:t xml:space="preserve">of using a particular contracting approach </w:t>
      </w:r>
      <w:r>
        <w:t>on communities and stakeholders.</w:t>
      </w:r>
    </w:p>
    <w:p w14:paraId="7461FAE4" w14:textId="70258F09" w:rsidR="003247A8" w:rsidRDefault="00B86628" w:rsidP="003247A8">
      <w:pPr>
        <w:pStyle w:val="EcorysBody"/>
      </w:pPr>
      <w:r>
        <w:t>The findings indicate that, where feasible, c</w:t>
      </w:r>
      <w:r w:rsidR="003247A8">
        <w:t xml:space="preserve">ommissioners </w:t>
      </w:r>
      <w:r>
        <w:t>should aim to</w:t>
      </w:r>
      <w:r w:rsidR="003247A8">
        <w:t xml:space="preserve"> conduct a comprehensive appraisal of all contracting options. This helps ensure that the selected approach, whether it is a SIB, Alliance Contracting, or another model, aligns best with their financial and strategic goals. Full appraisal can involve leaving some decision elements open during procurement to allow for flexibility and comparison during tender evaluation.</w:t>
      </w:r>
    </w:p>
    <w:p w14:paraId="293F2E69" w14:textId="6BED4D98" w:rsidR="003247A8" w:rsidRDefault="003247A8" w:rsidP="003247A8">
      <w:pPr>
        <w:pStyle w:val="EcorysBody"/>
      </w:pPr>
      <w:r>
        <w:t xml:space="preserve">In conclusion, the findings from the </w:t>
      </w:r>
      <w:r w:rsidR="000544B7">
        <w:t>researc</w:t>
      </w:r>
      <w:r>
        <w:t>h reveal that local government commissioners' decisions are heavily influenced by economic, political, and sociological factors. Key insights include:</w:t>
      </w:r>
    </w:p>
    <w:p w14:paraId="77E42D8F" w14:textId="09C6ADD8" w:rsidR="003247A8" w:rsidRDefault="003247A8" w:rsidP="0012737B">
      <w:pPr>
        <w:pStyle w:val="EcorysBullet01"/>
      </w:pPr>
      <w:r w:rsidRPr="0012737B">
        <w:rPr>
          <w:b/>
          <w:bCs/>
        </w:rPr>
        <w:t xml:space="preserve">Capacity </w:t>
      </w:r>
      <w:r w:rsidR="00193A75">
        <w:rPr>
          <w:b/>
          <w:bCs/>
        </w:rPr>
        <w:t>c</w:t>
      </w:r>
      <w:r w:rsidRPr="0012737B">
        <w:rPr>
          <w:b/>
          <w:bCs/>
        </w:rPr>
        <w:t>onstraints</w:t>
      </w:r>
      <w:r>
        <w:t>: Limited capacity within local authority teams hinders the consideration of innovative contracting approaches beyond FFS.</w:t>
      </w:r>
    </w:p>
    <w:p w14:paraId="07B4C8BB" w14:textId="1751A8A9" w:rsidR="003247A8" w:rsidRDefault="003247A8" w:rsidP="0012737B">
      <w:pPr>
        <w:pStyle w:val="EcorysBullet01"/>
      </w:pPr>
      <w:r w:rsidRPr="0012737B">
        <w:rPr>
          <w:b/>
          <w:bCs/>
        </w:rPr>
        <w:t xml:space="preserve">Role of </w:t>
      </w:r>
      <w:r w:rsidR="00193A75">
        <w:rPr>
          <w:b/>
          <w:bCs/>
        </w:rPr>
        <w:t>i</w:t>
      </w:r>
      <w:r w:rsidRPr="0012737B">
        <w:rPr>
          <w:b/>
          <w:bCs/>
        </w:rPr>
        <w:t>ndividual</w:t>
      </w:r>
      <w:r w:rsidR="00193A75">
        <w:rPr>
          <w:b/>
          <w:bCs/>
        </w:rPr>
        <w:t xml:space="preserve"> c</w:t>
      </w:r>
      <w:r w:rsidRPr="0012737B">
        <w:rPr>
          <w:b/>
          <w:bCs/>
        </w:rPr>
        <w:t>ommissioners</w:t>
      </w:r>
      <w:r>
        <w:t>: Individual commissioners are crucial in advocating for and implementing innovative approaches.</w:t>
      </w:r>
    </w:p>
    <w:p w14:paraId="3D855220" w14:textId="0DFE8791" w:rsidR="003247A8" w:rsidRDefault="003247A8" w:rsidP="0012737B">
      <w:pPr>
        <w:pStyle w:val="EcorysBullet01"/>
      </w:pPr>
      <w:r w:rsidRPr="0012737B">
        <w:rPr>
          <w:b/>
          <w:bCs/>
        </w:rPr>
        <w:t xml:space="preserve">Influence of </w:t>
      </w:r>
      <w:r w:rsidR="00193A75">
        <w:rPr>
          <w:b/>
          <w:bCs/>
        </w:rPr>
        <w:t>p</w:t>
      </w:r>
      <w:r w:rsidRPr="0012737B">
        <w:rPr>
          <w:b/>
          <w:bCs/>
        </w:rPr>
        <w:t xml:space="preserve">eer </w:t>
      </w:r>
      <w:r w:rsidR="00193A75">
        <w:rPr>
          <w:b/>
          <w:bCs/>
        </w:rPr>
        <w:t>l</w:t>
      </w:r>
      <w:r w:rsidRPr="0012737B">
        <w:rPr>
          <w:b/>
          <w:bCs/>
        </w:rPr>
        <w:t>earning</w:t>
      </w:r>
      <w:r>
        <w:t>: Learning from other local authorities' experiences is vital for increasing awareness and understanding of different contracting approaches.</w:t>
      </w:r>
    </w:p>
    <w:p w14:paraId="3EAC6533" w14:textId="77777777" w:rsidR="003247A8" w:rsidRDefault="003247A8" w:rsidP="0012737B">
      <w:pPr>
        <w:pStyle w:val="EcorysBullet01"/>
      </w:pPr>
      <w:r w:rsidRPr="0012737B">
        <w:rPr>
          <w:b/>
          <w:bCs/>
        </w:rPr>
        <w:t>Perception of FFS</w:t>
      </w:r>
      <w:r>
        <w:t>: FFS is often perceived as more efficient due to lower setup costs, although alternative approaches may be more cost-effective in terms of outcomes achieved.</w:t>
      </w:r>
    </w:p>
    <w:p w14:paraId="3D54AC22" w14:textId="30FBAF65" w:rsidR="003247A8" w:rsidRDefault="003247A8" w:rsidP="0012737B">
      <w:pPr>
        <w:pStyle w:val="EcorysBullet01"/>
      </w:pPr>
      <w:r w:rsidRPr="0012737B">
        <w:rPr>
          <w:b/>
          <w:bCs/>
        </w:rPr>
        <w:lastRenderedPageBreak/>
        <w:t xml:space="preserve">Economic and </w:t>
      </w:r>
      <w:r w:rsidR="00193A75">
        <w:rPr>
          <w:b/>
          <w:bCs/>
        </w:rPr>
        <w:t>o</w:t>
      </w:r>
      <w:r w:rsidRPr="0012737B">
        <w:rPr>
          <w:b/>
          <w:bCs/>
        </w:rPr>
        <w:t>rgani</w:t>
      </w:r>
      <w:r w:rsidR="001674D3">
        <w:rPr>
          <w:b/>
          <w:bCs/>
        </w:rPr>
        <w:t>s</w:t>
      </w:r>
      <w:r w:rsidRPr="0012737B">
        <w:rPr>
          <w:b/>
          <w:bCs/>
        </w:rPr>
        <w:t>ational Challenges</w:t>
      </w:r>
      <w:r>
        <w:t>: Budget constraints and limited organi</w:t>
      </w:r>
      <w:r w:rsidR="004A20F0">
        <w:t>s</w:t>
      </w:r>
      <w:r>
        <w:t>ational capacity challenge the adoption of outcomes-based models like SIBs.</w:t>
      </w:r>
    </w:p>
    <w:p w14:paraId="0FB05D7C" w14:textId="7417A94F" w:rsidR="00325D0C" w:rsidRDefault="00325D0C" w:rsidP="0012737B">
      <w:pPr>
        <w:pStyle w:val="EcorysBody"/>
        <w:spacing w:before="240"/>
      </w:pPr>
      <w:r>
        <w:br w:type="page"/>
      </w:r>
    </w:p>
    <w:p w14:paraId="01A0E6C1" w14:textId="00482BB4" w:rsidR="00325D0C" w:rsidRDefault="00325D0C" w:rsidP="00A96CAF">
      <w:pPr>
        <w:pStyle w:val="Heading1"/>
      </w:pPr>
      <w:bookmarkStart w:id="7" w:name="_Toc167437659"/>
      <w:r>
        <w:lastRenderedPageBreak/>
        <w:t>Introduction</w:t>
      </w:r>
      <w:bookmarkEnd w:id="7"/>
    </w:p>
    <w:p w14:paraId="1B6A780D" w14:textId="77777777" w:rsidR="00AD2CF2" w:rsidRDefault="00AD2CF2" w:rsidP="00AD2CF2">
      <w:pPr>
        <w:pStyle w:val="EcorysSectionLevel02"/>
      </w:pPr>
      <w:bookmarkStart w:id="8" w:name="_Toc129970480"/>
      <w:bookmarkStart w:id="9" w:name="_Toc167437660"/>
      <w:r>
        <w:t>Project Overview</w:t>
      </w:r>
      <w:bookmarkEnd w:id="8"/>
      <w:bookmarkEnd w:id="9"/>
      <w:r>
        <w:t xml:space="preserve"> </w:t>
      </w:r>
    </w:p>
    <w:p w14:paraId="5E8C3BB9" w14:textId="5DA4C857" w:rsidR="00AD2CF2" w:rsidRDefault="00AD2CF2" w:rsidP="00AD2CF2">
      <w:pPr>
        <w:pStyle w:val="EcorysBody"/>
      </w:pPr>
      <w:r>
        <w:t xml:space="preserve">The National Lottery Community Fund commissioned Ecorys and ATQ Consultants to undertake the evaluation of the Commissioning Better Outcomes (CBO) Fund. </w:t>
      </w:r>
      <w:r w:rsidR="00021A3D">
        <w:t>CBO</w:t>
      </w:r>
      <w:r w:rsidR="00AA1473">
        <w:t xml:space="preserve"> </w:t>
      </w:r>
      <w:r>
        <w:t xml:space="preserve">has supported the development and delivery of 23 projects, including 22 social impact bonds </w:t>
      </w:r>
      <w:r w:rsidRPr="00B47C01">
        <w:t>(SIBs)</w:t>
      </w:r>
      <w:r w:rsidRPr="00B47C01">
        <w:rPr>
          <w:i/>
          <w:vertAlign w:val="superscript"/>
        </w:rPr>
        <w:footnoteReference w:id="2"/>
      </w:r>
      <w:r>
        <w:t xml:space="preserve"> across England, in areas including health, social care and youth engagement. The evaluation, running from 2015-2025, has explored the advantages and disadvantages of commissioning a service through a SIB model</w:t>
      </w:r>
      <w:r w:rsidR="00C46145">
        <w:t>;</w:t>
      </w:r>
      <w:r>
        <w:t xml:space="preserve"> the challenges in developing SIBs</w:t>
      </w:r>
      <w:r w:rsidR="00C46145">
        <w:t>;</w:t>
      </w:r>
      <w:r>
        <w:t xml:space="preserve"> and explored the extent to which </w:t>
      </w:r>
      <w:r w:rsidR="00722068">
        <w:t xml:space="preserve">the </w:t>
      </w:r>
      <w:r>
        <w:t>CBO</w:t>
      </w:r>
      <w:r w:rsidR="00722068">
        <w:t xml:space="preserve"> Fund</w:t>
      </w:r>
      <w:r>
        <w:t xml:space="preserve"> has met its aim of growing the SIB market to enable more people, particularly those most in need, to lead fulfilling lives, in enriching places and as part of successful communities. The evaluation also aims to explore what more The National Lottery Community Fund and other stakeholders could do to meet this aim.</w:t>
      </w:r>
    </w:p>
    <w:p w14:paraId="40E02EBD" w14:textId="1DE281B9" w:rsidR="00A44324" w:rsidRDefault="00AD2CF2" w:rsidP="00A44324">
      <w:pPr>
        <w:pStyle w:val="EcorysBody"/>
      </w:pPr>
      <w:r>
        <w:t xml:space="preserve">To help The National Lottery Community Fund further contextualise the findings of the CBO evaluation within the wider debate on how to commission for earlier and better outcomes, Ecorys </w:t>
      </w:r>
      <w:r w:rsidR="00C000D2">
        <w:t>and ATQ Consultants undertook</w:t>
      </w:r>
      <w:r>
        <w:t xml:space="preserve"> further research exploring the political economy of commissioning. </w:t>
      </w:r>
      <w:bookmarkStart w:id="10" w:name="_Hlk137134414"/>
    </w:p>
    <w:p w14:paraId="736DECFC" w14:textId="27A13D0A" w:rsidR="00A44324" w:rsidRDefault="00A44324" w:rsidP="00A44324">
      <w:pPr>
        <w:pStyle w:val="EcorysBody"/>
      </w:pPr>
      <w:r>
        <w:t xml:space="preserve">The overall purpose of the research </w:t>
      </w:r>
      <w:r w:rsidR="00EB5DFA">
        <w:t>was</w:t>
      </w:r>
      <w:r>
        <w:t xml:space="preserve"> to understand: </w:t>
      </w:r>
    </w:p>
    <w:p w14:paraId="5B298811" w14:textId="77777777" w:rsidR="00A44324" w:rsidRDefault="00A44324" w:rsidP="00A44324">
      <w:pPr>
        <w:pStyle w:val="EcorysNumberedBullet01"/>
      </w:pPr>
      <w:r>
        <w:t>What factors local government commissioners consider or are confronted with when commissioning health and social service interventions, in terms of choosing a contracting approach for overcoming the challenges that otherwise get in the way of pursuing earlier and better outcomes.</w:t>
      </w:r>
    </w:p>
    <w:p w14:paraId="6355CC37" w14:textId="77777777" w:rsidR="00A44324" w:rsidRDefault="00A44324" w:rsidP="00A44324">
      <w:pPr>
        <w:pStyle w:val="EcorysNumberedBullet01"/>
      </w:pPr>
      <w:r>
        <w:t>How, when, and why these factors affect which contracting approach commissioners opt for.</w:t>
      </w:r>
    </w:p>
    <w:p w14:paraId="4D88197D" w14:textId="67E96CB2" w:rsidR="00A44324" w:rsidRDefault="00A44324" w:rsidP="00AD2CF2">
      <w:pPr>
        <w:pStyle w:val="EcorysNumberedBullet01"/>
      </w:pPr>
      <w:r>
        <w:t>The implications of these factors for commissioning Social Impact Bonds (SIBs).</w:t>
      </w:r>
    </w:p>
    <w:bookmarkEnd w:id="10"/>
    <w:p w14:paraId="475A5E75" w14:textId="23461D5F" w:rsidR="00AD2CF2" w:rsidRDefault="00AD2CF2" w:rsidP="00AD2CF2">
      <w:pPr>
        <w:pStyle w:val="EcorysBody"/>
      </w:pPr>
      <w:r>
        <w:t xml:space="preserve">An expert advisory group comprising practitioners, researchers and experts in local government commissioning </w:t>
      </w:r>
      <w:r w:rsidR="00EB5DFA">
        <w:t>helped to</w:t>
      </w:r>
      <w:r>
        <w:t xml:space="preserve"> shape </w:t>
      </w:r>
      <w:r w:rsidR="00EA45AB">
        <w:t xml:space="preserve">- </w:t>
      </w:r>
      <w:r>
        <w:t xml:space="preserve">and provide feedback throughout </w:t>
      </w:r>
      <w:r w:rsidR="00EA45AB">
        <w:t xml:space="preserve">- </w:t>
      </w:r>
      <w:r>
        <w:t>the study</w:t>
      </w:r>
      <w:r w:rsidR="26420AD1">
        <w:t xml:space="preserve">. </w:t>
      </w:r>
    </w:p>
    <w:p w14:paraId="2C538E2A" w14:textId="15A6993C" w:rsidR="007303D8" w:rsidRDefault="007303D8" w:rsidP="007303D8">
      <w:pPr>
        <w:pStyle w:val="EcorysBody"/>
        <w:spacing w:after="240"/>
        <w:jc w:val="both"/>
      </w:pPr>
      <w:r>
        <w:t>Our research focussed on the following contracting approaches:</w:t>
      </w:r>
    </w:p>
    <w:p w14:paraId="1C81ABF7" w14:textId="77777777" w:rsidR="007303D8" w:rsidRDefault="007303D8" w:rsidP="007303D8">
      <w:pPr>
        <w:pStyle w:val="EcorysBullet01"/>
        <w:spacing w:after="180" w:line="300" w:lineRule="auto"/>
        <w:ind w:left="284"/>
        <w:jc w:val="both"/>
      </w:pPr>
      <w:r w:rsidRPr="6002C6A8">
        <w:rPr>
          <w:rStyle w:val="EcorysBold"/>
        </w:rPr>
        <w:t>Social Impact Bonds (SIBs)</w:t>
      </w:r>
      <w:r>
        <w:t xml:space="preserve"> (a form of outcomes-based contract, where (social) investors provide the upfront capital needed for a provider to set up and deliver a service, with investment repaid by commissioners </w:t>
      </w:r>
      <w:bookmarkStart w:id="11" w:name="_Int_2kQNTrKp"/>
      <w:r>
        <w:t>on the basis of</w:t>
      </w:r>
      <w:bookmarkEnd w:id="11"/>
      <w:r>
        <w:t xml:space="preserve"> the providers achieving measurable outcomes), </w:t>
      </w:r>
    </w:p>
    <w:p w14:paraId="35AED9E1" w14:textId="77777777" w:rsidR="007303D8" w:rsidRDefault="007303D8" w:rsidP="007303D8">
      <w:pPr>
        <w:pStyle w:val="EcorysBullet01"/>
        <w:spacing w:after="180" w:line="300" w:lineRule="auto"/>
        <w:ind w:left="284"/>
        <w:jc w:val="both"/>
      </w:pPr>
      <w:r w:rsidRPr="003C0435">
        <w:rPr>
          <w:rStyle w:val="EcorysBold"/>
        </w:rPr>
        <w:t>Payment-by-Results (PbR)</w:t>
      </w:r>
      <w:r>
        <w:t xml:space="preserve"> (where providers are paid based on achieving specified outcomes - a SIB is a form of PbR), </w:t>
      </w:r>
    </w:p>
    <w:p w14:paraId="0FE95A98" w14:textId="77777777" w:rsidR="007303D8" w:rsidRDefault="007303D8" w:rsidP="007303D8">
      <w:pPr>
        <w:pStyle w:val="EcorysBullet01"/>
        <w:spacing w:after="180" w:line="300" w:lineRule="auto"/>
        <w:ind w:left="284"/>
        <w:jc w:val="both"/>
      </w:pPr>
      <w:r w:rsidRPr="003C0435">
        <w:rPr>
          <w:rStyle w:val="EcorysBold"/>
        </w:rPr>
        <w:t>Alliance contracting</w:t>
      </w:r>
      <w:r>
        <w:t xml:space="preserve"> (where delivery partners come together to hold a single ‘alliance’ contract with a commissioner, with payment typically linked to performance), and </w:t>
      </w:r>
    </w:p>
    <w:p w14:paraId="06452222" w14:textId="77777777" w:rsidR="007303D8" w:rsidRDefault="007303D8" w:rsidP="007303D8">
      <w:pPr>
        <w:pStyle w:val="EcorysBullet01"/>
        <w:spacing w:after="180" w:line="300" w:lineRule="auto"/>
        <w:ind w:left="284"/>
        <w:jc w:val="both"/>
      </w:pPr>
      <w:r w:rsidRPr="003C0435">
        <w:rPr>
          <w:b/>
          <w:bCs/>
        </w:rPr>
        <w:t>Fee-For-Service (FFS)</w:t>
      </w:r>
      <w:r>
        <w:t xml:space="preserve"> (traditional payment for service based on inputs or activities delivered). </w:t>
      </w:r>
    </w:p>
    <w:p w14:paraId="135E941D" w14:textId="77777777" w:rsidR="007303D8" w:rsidRDefault="007303D8" w:rsidP="00AD2CF2">
      <w:pPr>
        <w:pStyle w:val="EcorysBody"/>
      </w:pPr>
    </w:p>
    <w:p w14:paraId="70E685DE" w14:textId="77777777" w:rsidR="00AD2CF2" w:rsidRDefault="00AD2CF2" w:rsidP="00AD2CF2">
      <w:pPr>
        <w:pStyle w:val="EcorysSectionLevel02"/>
      </w:pPr>
      <w:bookmarkStart w:id="12" w:name="_Toc167437661"/>
      <w:r>
        <w:lastRenderedPageBreak/>
        <w:t>Methodology</w:t>
      </w:r>
      <w:bookmarkEnd w:id="12"/>
    </w:p>
    <w:p w14:paraId="06A40FEC" w14:textId="51354F43" w:rsidR="00A44324" w:rsidRDefault="00FE0090" w:rsidP="003A08FF">
      <w:pPr>
        <w:pStyle w:val="EcorysBody"/>
      </w:pPr>
      <w:r>
        <w:t xml:space="preserve">We </w:t>
      </w:r>
      <w:r w:rsidR="00C81C15">
        <w:t xml:space="preserve">used </w:t>
      </w:r>
      <w:r w:rsidR="00E5220A">
        <w:t>a mixed-method approach</w:t>
      </w:r>
      <w:r w:rsidR="00E0010A">
        <w:t xml:space="preserve"> </w:t>
      </w:r>
      <w:r w:rsidR="00A44324">
        <w:t>to answer the key research aims of the project. The research involve</w:t>
      </w:r>
      <w:r w:rsidR="00E5220A">
        <w:t>d</w:t>
      </w:r>
      <w:r w:rsidR="001A444E">
        <w:t xml:space="preserve"> a review of the existing evidence</w:t>
      </w:r>
      <w:r w:rsidR="00DB7F1B">
        <w:t xml:space="preserve"> </w:t>
      </w:r>
      <w:r w:rsidR="001A444E">
        <w:t xml:space="preserve">and </w:t>
      </w:r>
      <w:r w:rsidR="000172D3">
        <w:t>qualitative</w:t>
      </w:r>
      <w:r w:rsidR="001A444E">
        <w:t xml:space="preserve"> research with local authorities</w:t>
      </w:r>
      <w:r w:rsidR="00DB7F1B">
        <w:t>. These are described in more detail below.</w:t>
      </w:r>
    </w:p>
    <w:p w14:paraId="1E57D511" w14:textId="3BF7E80D" w:rsidR="00AD2CF2" w:rsidRDefault="00AD2CF2" w:rsidP="00AD2CF2">
      <w:pPr>
        <w:pStyle w:val="EcorysSectionLevel03"/>
      </w:pPr>
      <w:bookmarkStart w:id="13" w:name="_Toc167437662"/>
      <w:r>
        <w:t>Rapid Evidence Assessments</w:t>
      </w:r>
      <w:bookmarkEnd w:id="13"/>
    </w:p>
    <w:p w14:paraId="46EE1A2C" w14:textId="7B8B2E3C" w:rsidR="00DB7F1B" w:rsidRDefault="00AD2CF2" w:rsidP="00AD2CF2">
      <w:pPr>
        <w:pStyle w:val="EcorysBody"/>
      </w:pPr>
      <w:r w:rsidRPr="00236AA2">
        <w:rPr>
          <w:rFonts w:cs="Arial"/>
          <w:shd w:val="clear" w:color="auto" w:fill="FEFEFE"/>
        </w:rPr>
        <w:t xml:space="preserve">A </w:t>
      </w:r>
      <w:r w:rsidR="00DB7F1B">
        <w:rPr>
          <w:rFonts w:cs="Arial"/>
          <w:shd w:val="clear" w:color="auto" w:fill="FEFEFE"/>
        </w:rPr>
        <w:t xml:space="preserve">rapid evidence assessment (REA) </w:t>
      </w:r>
      <w:r>
        <w:rPr>
          <w:rFonts w:cs="Arial"/>
          <w:shd w:val="clear" w:color="auto" w:fill="FEFEFE"/>
        </w:rPr>
        <w:t>provides</w:t>
      </w:r>
      <w:r w:rsidRPr="00236AA2">
        <w:rPr>
          <w:rFonts w:cs="Arial"/>
          <w:shd w:val="clear" w:color="auto" w:fill="FEFEFE"/>
        </w:rPr>
        <w:t xml:space="preserve"> a</w:t>
      </w:r>
      <w:r>
        <w:rPr>
          <w:rFonts w:cs="Arial"/>
          <w:shd w:val="clear" w:color="auto" w:fill="FEFEFE"/>
        </w:rPr>
        <w:t xml:space="preserve">n </w:t>
      </w:r>
      <w:r w:rsidRPr="00236AA2">
        <w:rPr>
          <w:rFonts w:cs="Arial"/>
          <w:shd w:val="clear" w:color="auto" w:fill="FEFEFE"/>
        </w:rPr>
        <w:t>overview of existing research on a (constrained) topic and a synthesis of the evidence provided by these studies to answer the</w:t>
      </w:r>
      <w:r>
        <w:rPr>
          <w:rFonts w:cs="Arial"/>
          <w:shd w:val="clear" w:color="auto" w:fill="FEFEFE"/>
        </w:rPr>
        <w:t xml:space="preserve"> research</w:t>
      </w:r>
      <w:r w:rsidRPr="00236AA2">
        <w:rPr>
          <w:rFonts w:cs="Arial"/>
          <w:shd w:val="clear" w:color="auto" w:fill="FEFEFE"/>
        </w:rPr>
        <w:t xml:space="preserve"> question</w:t>
      </w:r>
      <w:r>
        <w:rPr>
          <w:rFonts w:cs="Arial"/>
          <w:shd w:val="clear" w:color="auto" w:fill="FEFEFE"/>
        </w:rPr>
        <w:t>.</w:t>
      </w:r>
      <w:r w:rsidR="00DB7F1B">
        <w:rPr>
          <w:rFonts w:cs="Arial"/>
          <w:shd w:val="clear" w:color="auto" w:fill="FEFEFE"/>
        </w:rPr>
        <w:t xml:space="preserve"> We undertook two REAs for this</w:t>
      </w:r>
      <w:r w:rsidR="000829A5">
        <w:rPr>
          <w:rFonts w:cs="Arial"/>
          <w:shd w:val="clear" w:color="auto" w:fill="FEFEFE"/>
        </w:rPr>
        <w:t xml:space="preserve"> study.</w:t>
      </w:r>
      <w:r w:rsidR="00DB7F1B">
        <w:rPr>
          <w:rFonts w:cs="Arial"/>
          <w:shd w:val="clear" w:color="auto" w:fill="FEFEFE"/>
        </w:rPr>
        <w:t xml:space="preserve"> </w:t>
      </w:r>
      <w:r w:rsidR="00DB7F1B">
        <w:t>The first REA focuse</w:t>
      </w:r>
      <w:r w:rsidR="007303D8">
        <w:t>d</w:t>
      </w:r>
      <w:r w:rsidR="00DB7F1B">
        <w:t xml:space="preserve"> on factors that local government commissioners are faced with and consider when choosing a contracting approach. The second REA focuse</w:t>
      </w:r>
      <w:r w:rsidR="007303D8">
        <w:t>d</w:t>
      </w:r>
      <w:r w:rsidR="00DB7F1B">
        <w:t xml:space="preserve"> on comparing the advantages</w:t>
      </w:r>
      <w:r w:rsidR="004E1A10">
        <w:t xml:space="preserve"> and </w:t>
      </w:r>
      <w:r w:rsidR="00DB7F1B">
        <w:t>disadvantages of SIBs with those of other contracting approaches, such as fee for service, Payment-by-Results, and alliance contracting.</w:t>
      </w:r>
      <w:r w:rsidR="00114BCE">
        <w:t xml:space="preserve"> </w:t>
      </w:r>
    </w:p>
    <w:p w14:paraId="60D3344F" w14:textId="26E68B8A" w:rsidR="001D5028" w:rsidRDefault="00AD2CF2" w:rsidP="00AD2CF2">
      <w:pPr>
        <w:pStyle w:val="EcorysBody"/>
      </w:pPr>
      <w:r>
        <w:t xml:space="preserve">We utilised a four-stage approach to conducting our REAs; searching for, assessing, reviewing, </w:t>
      </w:r>
      <w:r w:rsidR="00215B68">
        <w:t>and analysing the literature in relation to the key themes of interest</w:t>
      </w:r>
      <w:r w:rsidR="001D5028">
        <w:t>:</w:t>
      </w:r>
    </w:p>
    <w:p w14:paraId="60D67EC3" w14:textId="1EB91149" w:rsidR="00AD2CF2" w:rsidRDefault="001D5028" w:rsidP="0052753B">
      <w:pPr>
        <w:pStyle w:val="EcorysBullet01"/>
      </w:pPr>
      <w:r>
        <w:t>REA 1</w:t>
      </w:r>
      <w:r w:rsidR="0052753B">
        <w:t xml:space="preserve"> explored the wider available literature on the factors that influence commissioner decision-making. It analysed the factors that manifest at the individual, organisational, and market/wider context level; </w:t>
      </w:r>
      <w:r w:rsidR="00195946">
        <w:t xml:space="preserve">PESTLE </w:t>
      </w:r>
      <w:r w:rsidR="0052753B">
        <w:t>factors</w:t>
      </w:r>
      <w:r w:rsidR="00A96CAF">
        <w:t xml:space="preserve"> (</w:t>
      </w:r>
      <w:r w:rsidR="00195946">
        <w:t>meaning political</w:t>
      </w:r>
      <w:r w:rsidR="00A96CAF">
        <w:t>,</w:t>
      </w:r>
      <w:r w:rsidR="00195946">
        <w:t xml:space="preserve"> economic, sociological, technological, </w:t>
      </w:r>
      <w:r w:rsidR="70B4034F">
        <w:t>legal,</w:t>
      </w:r>
      <w:r w:rsidR="00195946">
        <w:t xml:space="preserve"> and environmental factors</w:t>
      </w:r>
      <w:r w:rsidR="00A96CAF">
        <w:t>)</w:t>
      </w:r>
      <w:r w:rsidR="0052753B">
        <w:t xml:space="preserve">; and how these factors influence decision-making in specific sector areas, such as </w:t>
      </w:r>
      <w:r w:rsidR="00940C8E">
        <w:t>social care services for children and adults,</w:t>
      </w:r>
      <w:r w:rsidR="0052753B">
        <w:t xml:space="preserve"> and youth engagement services.</w:t>
      </w:r>
    </w:p>
    <w:p w14:paraId="14DD4948" w14:textId="7768FF7F" w:rsidR="0052753B" w:rsidRPr="0052753B" w:rsidRDefault="001D5028" w:rsidP="0052753B">
      <w:pPr>
        <w:pStyle w:val="EcorysBullet01"/>
      </w:pPr>
      <w:r>
        <w:t>REA 2</w:t>
      </w:r>
      <w:r w:rsidR="0052753B">
        <w:t xml:space="preserve"> </w:t>
      </w:r>
      <w:r w:rsidR="0052753B" w:rsidRPr="0052753B">
        <w:t>examine</w:t>
      </w:r>
      <w:r w:rsidR="0052753B">
        <w:t>d</w:t>
      </w:r>
      <w:r w:rsidR="0052753B" w:rsidRPr="0052753B">
        <w:t xml:space="preserve"> the wider available literature comparing</w:t>
      </w:r>
      <w:r w:rsidR="00A96CAF">
        <w:t xml:space="preserve"> the</w:t>
      </w:r>
      <w:r w:rsidR="0052753B" w:rsidRPr="0052753B">
        <w:t xml:space="preserve"> advantages and disadvantages of SIBs with </w:t>
      </w:r>
      <w:r w:rsidR="007A35DA">
        <w:t>fee-for-service, payment-by-results</w:t>
      </w:r>
      <w:r w:rsidR="00021A3D">
        <w:t>,</w:t>
      </w:r>
      <w:r w:rsidR="007A35DA">
        <w:t xml:space="preserve"> and alliance contracting</w:t>
      </w:r>
      <w:r w:rsidR="0052753B" w:rsidRPr="0052753B">
        <w:t>. Where possible, it explore</w:t>
      </w:r>
      <w:r w:rsidR="0052753B">
        <w:t>d</w:t>
      </w:r>
      <w:r w:rsidR="0052753B" w:rsidRPr="0052753B">
        <w:t xml:space="preserve"> how these advantages and disadvantages affect </w:t>
      </w:r>
      <w:r w:rsidR="007A35DA">
        <w:t>commissioners’ choice of contracting approach</w:t>
      </w:r>
      <w:r w:rsidR="0052753B" w:rsidRPr="0052753B">
        <w:t>.</w:t>
      </w:r>
    </w:p>
    <w:p w14:paraId="1FC9EB1D" w14:textId="72ADB2C5" w:rsidR="00AD2CF2" w:rsidRDefault="00AD2CF2" w:rsidP="00AD2CF2">
      <w:pPr>
        <w:pStyle w:val="EcorysBody"/>
      </w:pPr>
      <w:r>
        <w:t>To</w:t>
      </w:r>
      <w:r>
        <w:rPr>
          <w:rFonts w:cs="Arial"/>
        </w:rPr>
        <w:t xml:space="preserve"> make best use of the limited time available for the REAs, we undertook a multi-pronged approach to identifying literature to be included in the study. This included a: </w:t>
      </w:r>
      <w:r>
        <w:t>search of databases/search engines such as Google Scholar; a s</w:t>
      </w:r>
      <w:r w:rsidRPr="004F0DE1">
        <w:t xml:space="preserve">earch </w:t>
      </w:r>
      <w:r>
        <w:t xml:space="preserve">of </w:t>
      </w:r>
      <w:r w:rsidRPr="004F0DE1">
        <w:t>publications pages of organisations working in relation to local government commissioning</w:t>
      </w:r>
      <w:r>
        <w:t xml:space="preserve">; and a call for evidence from our Advisory Group. Our </w:t>
      </w:r>
      <w:r w:rsidR="00605463">
        <w:t>search identified</w:t>
      </w:r>
      <w:r w:rsidR="00EB2D0F">
        <w:t xml:space="preserve"> </w:t>
      </w:r>
      <w:r>
        <w:t xml:space="preserve">337 pieces of relevant </w:t>
      </w:r>
      <w:r w:rsidR="7B851677">
        <w:t>literature (</w:t>
      </w:r>
      <w:r w:rsidR="00484B7D">
        <w:t xml:space="preserve">124 </w:t>
      </w:r>
      <w:r w:rsidR="00540A2B">
        <w:t xml:space="preserve">documents for REA 1, and </w:t>
      </w:r>
      <w:r w:rsidR="00484B7D">
        <w:t>213 pieces of relevant literature</w:t>
      </w:r>
      <w:r w:rsidR="00540A2B">
        <w:t xml:space="preserve"> for REA 2)</w:t>
      </w:r>
      <w:r w:rsidR="00484B7D">
        <w:t>.</w:t>
      </w:r>
      <w:r w:rsidR="00C03026">
        <w:rPr>
          <w:rStyle w:val="FootnoteReference"/>
        </w:rPr>
        <w:footnoteReference w:id="3"/>
      </w:r>
    </w:p>
    <w:p w14:paraId="204D7D12" w14:textId="5620626C" w:rsidR="00AD2CF2" w:rsidRDefault="00AD2CF2" w:rsidP="00AD2CF2">
      <w:pPr>
        <w:pStyle w:val="EcorysBody"/>
      </w:pPr>
      <w:r>
        <w:t>To prioritise the most relevant literature, we appraised</w:t>
      </w:r>
      <w:r w:rsidRPr="00770D95">
        <w:t xml:space="preserve"> </w:t>
      </w:r>
      <w:r>
        <w:t xml:space="preserve">each piece of evidence, using a scoring system </w:t>
      </w:r>
      <w:r w:rsidRPr="00770D95">
        <w:t xml:space="preserve">based on the level of rigour of publication, </w:t>
      </w:r>
      <w:r>
        <w:t xml:space="preserve">the </w:t>
      </w:r>
      <w:r w:rsidRPr="00770D95">
        <w:t xml:space="preserve">extent the literature </w:t>
      </w:r>
      <w:r w:rsidR="002E0500">
        <w:t>was</w:t>
      </w:r>
      <w:r w:rsidRPr="00770D95">
        <w:t xml:space="preserve"> grounded in evidence and </w:t>
      </w:r>
      <w:r>
        <w:t xml:space="preserve">the </w:t>
      </w:r>
      <w:r w:rsidRPr="00770D95">
        <w:t>relevance of the literature to our areas of investigation</w:t>
      </w:r>
      <w:r w:rsidRPr="00480D6E">
        <w:rPr>
          <w:i/>
          <w:iCs/>
        </w:rPr>
        <w:t>.</w:t>
      </w:r>
      <w:r w:rsidRPr="00770D95">
        <w:t xml:space="preserve"> </w:t>
      </w:r>
      <w:r>
        <w:t>After the appraisal process, we were left with 96 pieces of literature</w:t>
      </w:r>
      <w:r w:rsidR="00931360">
        <w:t xml:space="preserve"> that we prioritised</w:t>
      </w:r>
      <w:r>
        <w:t xml:space="preserve"> to review</w:t>
      </w:r>
      <w:r w:rsidR="00931360">
        <w:t xml:space="preserve"> in detail</w:t>
      </w:r>
      <w:r w:rsidR="00443D98">
        <w:t xml:space="preserve"> (38 in REA and 58 in REA2)</w:t>
      </w:r>
      <w:r w:rsidR="00430DEB">
        <w:t>.</w:t>
      </w:r>
      <w:r w:rsidR="00371477">
        <w:t xml:space="preserve"> </w:t>
      </w:r>
      <w:r w:rsidR="00657A35">
        <w:t>Each piece of literature was reviewed, and we extracted the data in relation to the REAs’ respective key themes.</w:t>
      </w:r>
    </w:p>
    <w:p w14:paraId="3DF30BFD" w14:textId="2E38F577" w:rsidR="00AD2CF2" w:rsidRDefault="00AD2CF2" w:rsidP="00AD2CF2">
      <w:pPr>
        <w:pStyle w:val="EcorysBody"/>
      </w:pPr>
      <w:r>
        <w:t>Once we populated the framework with the relevant findings from the literature, we undertook a thematic analysis of the data. The findings from the thematic analysis were then synthesised in a completed Summary Report for each REA.</w:t>
      </w:r>
    </w:p>
    <w:p w14:paraId="3D0C8807" w14:textId="73E615AE" w:rsidR="00AD2CF2" w:rsidRDefault="0006324A" w:rsidP="00AD2CF2">
      <w:pPr>
        <w:pStyle w:val="EcorysSectionLevel03"/>
      </w:pPr>
      <w:bookmarkStart w:id="14" w:name="_Toc167437663"/>
      <w:r>
        <w:t xml:space="preserve">Primary </w:t>
      </w:r>
      <w:r w:rsidR="00B3490B">
        <w:t>q</w:t>
      </w:r>
      <w:r>
        <w:t xml:space="preserve">ualitative </w:t>
      </w:r>
      <w:r w:rsidR="00B3490B">
        <w:t>r</w:t>
      </w:r>
      <w:r>
        <w:t>esearch</w:t>
      </w:r>
      <w:bookmarkEnd w:id="14"/>
    </w:p>
    <w:p w14:paraId="74D609EF" w14:textId="30EB0759" w:rsidR="00892AE6" w:rsidRDefault="00892AE6" w:rsidP="00892AE6">
      <w:pPr>
        <w:pStyle w:val="EcorysBody"/>
        <w:jc w:val="both"/>
      </w:pPr>
      <w:r>
        <w:t>The REAs provide</w:t>
      </w:r>
      <w:r w:rsidR="00862A3B">
        <w:t>d</w:t>
      </w:r>
      <w:r>
        <w:t xml:space="preserve"> some insights into the decision-making processes </w:t>
      </w:r>
      <w:r w:rsidR="00862A3B">
        <w:t>in choosing a contracting approach</w:t>
      </w:r>
      <w:r>
        <w:t xml:space="preserve">, but not a full picture. </w:t>
      </w:r>
      <w:r w:rsidR="005452C2">
        <w:t xml:space="preserve">To fill in the gaps, we </w:t>
      </w:r>
      <w:r>
        <w:t xml:space="preserve">undertook </w:t>
      </w:r>
      <w:r w:rsidR="00B3490B">
        <w:t>p</w:t>
      </w:r>
      <w:r w:rsidR="0006324A">
        <w:t xml:space="preserve">rimary </w:t>
      </w:r>
      <w:r w:rsidR="00B3490B">
        <w:t>q</w:t>
      </w:r>
      <w:r w:rsidR="0006324A">
        <w:t xml:space="preserve">ualitative </w:t>
      </w:r>
      <w:r w:rsidR="00B3490B">
        <w:t>r</w:t>
      </w:r>
      <w:r w:rsidR="0006324A">
        <w:t>esearch</w:t>
      </w:r>
      <w:r>
        <w:t xml:space="preserve"> with commissioners</w:t>
      </w:r>
      <w:r w:rsidR="005452C2">
        <w:t xml:space="preserve"> from 10 local authorities</w:t>
      </w:r>
      <w:r w:rsidR="009A53B2">
        <w:t xml:space="preserve"> (LAs)</w:t>
      </w:r>
      <w:r w:rsidR="00BC4F88">
        <w:t xml:space="preserve">. The </w:t>
      </w:r>
      <w:r w:rsidR="00B3490B">
        <w:t>q</w:t>
      </w:r>
      <w:r w:rsidR="0006324A">
        <w:t xml:space="preserve">ualitative </w:t>
      </w:r>
      <w:r w:rsidR="51529F89">
        <w:t>research</w:t>
      </w:r>
      <w:r w:rsidR="00BC4F88">
        <w:t xml:space="preserve"> sought to map out the </w:t>
      </w:r>
      <w:bookmarkStart w:id="15" w:name="_Int_SVHCFfZ2"/>
      <w:r w:rsidR="00BC4F88">
        <w:t>different factors</w:t>
      </w:r>
      <w:bookmarkEnd w:id="15"/>
      <w:r w:rsidR="00BC4F88">
        <w:t xml:space="preserve"> that affect local government </w:t>
      </w:r>
      <w:r w:rsidR="00BC4F88">
        <w:lastRenderedPageBreak/>
        <w:t>commissioners’ decision-making</w:t>
      </w:r>
      <w:r w:rsidR="00827C79">
        <w:t xml:space="preserve"> when choosing a contracting approach</w:t>
      </w:r>
      <w:r w:rsidR="00BC4F88">
        <w:t>, how they do this, and who is impacted by these factors.</w:t>
      </w:r>
      <w:r w:rsidR="001640C6">
        <w:t xml:space="preserve"> </w:t>
      </w:r>
    </w:p>
    <w:p w14:paraId="008BE6C0" w14:textId="71E7D9E8" w:rsidR="001640C6" w:rsidRDefault="00BC4F88" w:rsidP="00892AE6">
      <w:pPr>
        <w:pStyle w:val="EcorysBody"/>
        <w:jc w:val="both"/>
      </w:pPr>
      <w:r>
        <w:t xml:space="preserve">To ensure a broad range of perspectives, </w:t>
      </w:r>
      <w:r w:rsidR="005C2039">
        <w:t>we</w:t>
      </w:r>
      <w:r>
        <w:t xml:space="preserve"> sampled </w:t>
      </w:r>
      <w:r w:rsidR="000172D3">
        <w:t>LAs</w:t>
      </w:r>
      <w:r>
        <w:t xml:space="preserve"> purposively. Prospective </w:t>
      </w:r>
      <w:r w:rsidR="0006324A">
        <w:t>participants</w:t>
      </w:r>
      <w:r>
        <w:t xml:space="preserve"> were identified through scoping consultations with the key experts</w:t>
      </w:r>
      <w:r w:rsidR="00F815AE">
        <w:t xml:space="preserve"> </w:t>
      </w:r>
      <w:r w:rsidR="00EE053E">
        <w:t>from</w:t>
      </w:r>
      <w:r w:rsidR="00F815AE">
        <w:t xml:space="preserve"> the research advisory group</w:t>
      </w:r>
      <w:r>
        <w:t xml:space="preserve">, discussions with </w:t>
      </w:r>
      <w:r w:rsidR="004E1693">
        <w:t>The National Lottery Community Fund</w:t>
      </w:r>
      <w:r>
        <w:t xml:space="preserve">, and our findings from the REA. The aim was to get a mix of </w:t>
      </w:r>
      <w:r w:rsidR="0006324A">
        <w:t>participants</w:t>
      </w:r>
      <w:r>
        <w:t xml:space="preserve"> where commissioners undertook more novel forms of </w:t>
      </w:r>
      <w:r w:rsidR="00190912">
        <w:t xml:space="preserve">contracting </w:t>
      </w:r>
      <w:r>
        <w:t xml:space="preserve">(for example, outcomes-based commissioning (including SIBs)) and more traditional forms of </w:t>
      </w:r>
      <w:r w:rsidR="00190912">
        <w:t xml:space="preserve">contracting </w:t>
      </w:r>
      <w:r>
        <w:t>(e.g. fee-for-service) to ensure that we c</w:t>
      </w:r>
      <w:r w:rsidR="00190912">
        <w:t>ould</w:t>
      </w:r>
      <w:r>
        <w:t xml:space="preserve"> </w:t>
      </w:r>
      <w:bookmarkStart w:id="16" w:name="_Int_FO7DJWA5"/>
      <w:r>
        <w:t>compare and contrast</w:t>
      </w:r>
      <w:bookmarkEnd w:id="16"/>
      <w:r>
        <w:t xml:space="preserve"> the factors across different c</w:t>
      </w:r>
      <w:r w:rsidR="00190912">
        <w:t>ont</w:t>
      </w:r>
      <w:r w:rsidR="00EE053E">
        <w:t>r</w:t>
      </w:r>
      <w:r w:rsidR="00190912">
        <w:t>acting approaches</w:t>
      </w:r>
      <w:r>
        <w:t xml:space="preserve">. </w:t>
      </w:r>
      <w:r w:rsidR="001640C6">
        <w:t xml:space="preserve">Table </w:t>
      </w:r>
      <w:r w:rsidR="00EE053E">
        <w:t>2</w:t>
      </w:r>
      <w:r w:rsidR="001640C6">
        <w:t xml:space="preserve"> outlines the full sample achieved.</w:t>
      </w:r>
    </w:p>
    <w:p w14:paraId="78977A32" w14:textId="2D77EF88" w:rsidR="002957A7" w:rsidRDefault="002957A7" w:rsidP="002957A7">
      <w:pPr>
        <w:pStyle w:val="Caption"/>
      </w:pPr>
      <w:bookmarkStart w:id="17" w:name="_Toc158897999"/>
      <w:r>
        <w:t xml:space="preserve">Table </w:t>
      </w:r>
      <w:r>
        <w:fldChar w:fldCharType="begin"/>
      </w:r>
      <w:r>
        <w:instrText xml:space="preserve"> SEQ Table \* ARABIC </w:instrText>
      </w:r>
      <w:r>
        <w:fldChar w:fldCharType="separate"/>
      </w:r>
      <w:r w:rsidR="002D399E">
        <w:rPr>
          <w:noProof/>
        </w:rPr>
        <w:t>2</w:t>
      </w:r>
      <w:r>
        <w:rPr>
          <w:noProof/>
        </w:rPr>
        <w:fldChar w:fldCharType="end"/>
      </w:r>
      <w:r>
        <w:t xml:space="preserve"> </w:t>
      </w:r>
      <w:r w:rsidR="0006324A">
        <w:t>–</w:t>
      </w:r>
      <w:r>
        <w:t xml:space="preserve"> </w:t>
      </w:r>
      <w:r w:rsidR="0006324A">
        <w:t>Primary Qualitative Research</w:t>
      </w:r>
      <w:r>
        <w:t xml:space="preserve"> Sample</w:t>
      </w:r>
      <w:bookmarkEnd w:id="17"/>
    </w:p>
    <w:tbl>
      <w:tblPr>
        <w:tblStyle w:val="GridTable4-Accent1"/>
        <w:tblW w:w="0" w:type="auto"/>
        <w:tblLook w:val="04A0" w:firstRow="1" w:lastRow="0" w:firstColumn="1" w:lastColumn="0" w:noHBand="0" w:noVBand="1"/>
      </w:tblPr>
      <w:tblGrid>
        <w:gridCol w:w="4791"/>
        <w:gridCol w:w="4225"/>
        <w:gridCol w:w="45"/>
      </w:tblGrid>
      <w:tr w:rsidR="00C74838" w14:paraId="1E40DFBB" w14:textId="77777777" w:rsidTr="00C74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91AE134" w14:textId="4817684F" w:rsidR="00C74838" w:rsidRDefault="002957A7" w:rsidP="002957A7">
            <w:pPr>
              <w:pStyle w:val="EcorysTableHeader"/>
            </w:pPr>
            <w:r>
              <w:t>Variable</w:t>
            </w:r>
          </w:p>
        </w:tc>
        <w:tc>
          <w:tcPr>
            <w:tcW w:w="4246" w:type="dxa"/>
            <w:gridSpan w:val="2"/>
          </w:tcPr>
          <w:p w14:paraId="273E5B4A" w14:textId="0A6F62A6" w:rsidR="00C74838" w:rsidRDefault="00256B98" w:rsidP="002957A7">
            <w:pPr>
              <w:pStyle w:val="EcorysTableHeader"/>
              <w:cnfStyle w:val="100000000000" w:firstRow="1" w:lastRow="0" w:firstColumn="0" w:lastColumn="0" w:oddVBand="0" w:evenVBand="0" w:oddHBand="0" w:evenHBand="0" w:firstRowFirstColumn="0" w:firstRowLastColumn="0" w:lastRowFirstColumn="0" w:lastRowLastColumn="0"/>
            </w:pPr>
            <w:r>
              <w:t>Number</w:t>
            </w:r>
          </w:p>
        </w:tc>
      </w:tr>
      <w:tr w:rsidR="00C74838" w14:paraId="266BFBA2" w14:textId="77777777" w:rsidTr="002957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39D3C51A" w14:textId="6CA277D1" w:rsidR="00C74838" w:rsidRPr="00C74838" w:rsidRDefault="00C74838" w:rsidP="002957A7">
            <w:pPr>
              <w:pStyle w:val="EcorysTableBody"/>
            </w:pPr>
            <w:r w:rsidRPr="00C74838">
              <w:t>Number of LAs engaged</w:t>
            </w:r>
          </w:p>
        </w:tc>
        <w:tc>
          <w:tcPr>
            <w:tcW w:w="4246" w:type="dxa"/>
            <w:gridSpan w:val="2"/>
            <w:shd w:val="clear" w:color="auto" w:fill="auto"/>
          </w:tcPr>
          <w:p w14:paraId="0C3D4AD1" w14:textId="128E9616" w:rsidR="00C74838" w:rsidRPr="00C74838" w:rsidRDefault="00C74838" w:rsidP="009E0029">
            <w:pPr>
              <w:pStyle w:val="EcorysTableBody"/>
              <w:jc w:val="center"/>
              <w:cnfStyle w:val="000000100000" w:firstRow="0" w:lastRow="0" w:firstColumn="0" w:lastColumn="0" w:oddVBand="0" w:evenVBand="0" w:oddHBand="1" w:evenHBand="0" w:firstRowFirstColumn="0" w:firstRowLastColumn="0" w:lastRowFirstColumn="0" w:lastRowLastColumn="0"/>
            </w:pPr>
            <w:r w:rsidRPr="00C74838">
              <w:t>10</w:t>
            </w:r>
          </w:p>
        </w:tc>
      </w:tr>
      <w:tr w:rsidR="004E7281" w14:paraId="459A3D68" w14:textId="77777777" w:rsidTr="002957A7">
        <w:trPr>
          <w:gridAfter w:val="1"/>
          <w:wAfter w:w="45" w:type="dxa"/>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308581FA" w14:textId="34BF0BEA" w:rsidR="00EC2A86" w:rsidRPr="00C74838" w:rsidRDefault="00EC2A86" w:rsidP="002957A7">
            <w:pPr>
              <w:pStyle w:val="EcorysTableBody"/>
            </w:pPr>
            <w:r>
              <w:t>Number of participants</w:t>
            </w:r>
          </w:p>
        </w:tc>
        <w:tc>
          <w:tcPr>
            <w:tcW w:w="4246" w:type="dxa"/>
            <w:shd w:val="clear" w:color="auto" w:fill="auto"/>
          </w:tcPr>
          <w:p w14:paraId="0CD83348" w14:textId="3349B9CF" w:rsidR="00EC2A86" w:rsidRPr="00C74838" w:rsidRDefault="00EC2A86" w:rsidP="009E0029">
            <w:pPr>
              <w:pStyle w:val="EcorysTableBody"/>
              <w:jc w:val="center"/>
              <w:cnfStyle w:val="000000000000" w:firstRow="0" w:lastRow="0" w:firstColumn="0" w:lastColumn="0" w:oddVBand="0" w:evenVBand="0" w:oddHBand="0" w:evenHBand="0" w:firstRowFirstColumn="0" w:firstRowLastColumn="0" w:lastRowFirstColumn="0" w:lastRowLastColumn="0"/>
            </w:pPr>
            <w:r>
              <w:t>13</w:t>
            </w:r>
          </w:p>
        </w:tc>
      </w:tr>
      <w:tr w:rsidR="00C74838" w14:paraId="6B72CF5B" w14:textId="77777777" w:rsidTr="00C74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3BAFFF" w:themeFill="accent1" w:themeFillTint="99"/>
          </w:tcPr>
          <w:p w14:paraId="17A1492D" w14:textId="7C114218" w:rsidR="00C74838" w:rsidRPr="00C74838" w:rsidRDefault="00C74838" w:rsidP="002957A7">
            <w:pPr>
              <w:pStyle w:val="EcorysTableBody"/>
            </w:pPr>
            <w:r>
              <w:t>Type of Contracting Approach Discusse</w:t>
            </w:r>
            <w:r w:rsidR="00672576">
              <w:t>d</w:t>
            </w:r>
          </w:p>
        </w:tc>
        <w:tc>
          <w:tcPr>
            <w:tcW w:w="4246" w:type="dxa"/>
            <w:gridSpan w:val="2"/>
            <w:shd w:val="clear" w:color="auto" w:fill="3BAFFF" w:themeFill="accent1" w:themeFillTint="99"/>
          </w:tcPr>
          <w:p w14:paraId="2180F63A" w14:textId="77777777" w:rsidR="00C74838" w:rsidRDefault="00C74838" w:rsidP="002957A7">
            <w:pPr>
              <w:pStyle w:val="EcorysTableBody"/>
              <w:cnfStyle w:val="000000100000" w:firstRow="0" w:lastRow="0" w:firstColumn="0" w:lastColumn="0" w:oddVBand="0" w:evenVBand="0" w:oddHBand="1" w:evenHBand="0" w:firstRowFirstColumn="0" w:firstRowLastColumn="0" w:lastRowFirstColumn="0" w:lastRowLastColumn="0"/>
            </w:pPr>
          </w:p>
        </w:tc>
      </w:tr>
      <w:tr w:rsidR="00C74838" w14:paraId="34C8DAE1" w14:textId="77777777" w:rsidTr="00C74838">
        <w:tc>
          <w:tcPr>
            <w:cnfStyle w:val="001000000000" w:firstRow="0" w:lastRow="0" w:firstColumn="1" w:lastColumn="0" w:oddVBand="0" w:evenVBand="0" w:oddHBand="0" w:evenHBand="0" w:firstRowFirstColumn="0" w:firstRowLastColumn="0" w:lastRowFirstColumn="0" w:lastRowLastColumn="0"/>
            <w:tcW w:w="4815" w:type="dxa"/>
          </w:tcPr>
          <w:p w14:paraId="2E89D06B" w14:textId="631D8422" w:rsidR="00C74838" w:rsidRPr="00C74838" w:rsidRDefault="00C74838" w:rsidP="00892AE6">
            <w:pPr>
              <w:pStyle w:val="EcorysBody"/>
              <w:jc w:val="both"/>
            </w:pPr>
            <w:r>
              <w:t>Social Impact Bond</w:t>
            </w:r>
          </w:p>
        </w:tc>
        <w:tc>
          <w:tcPr>
            <w:tcW w:w="4246" w:type="dxa"/>
            <w:gridSpan w:val="2"/>
          </w:tcPr>
          <w:p w14:paraId="780D642C" w14:textId="6C60C73C" w:rsidR="00C74838" w:rsidRDefault="00C74838" w:rsidP="00C74838">
            <w:pPr>
              <w:pStyle w:val="EcorysBody"/>
              <w:jc w:val="center"/>
              <w:cnfStyle w:val="000000000000" w:firstRow="0" w:lastRow="0" w:firstColumn="0" w:lastColumn="0" w:oddVBand="0" w:evenVBand="0" w:oddHBand="0" w:evenHBand="0" w:firstRowFirstColumn="0" w:firstRowLastColumn="0" w:lastRowFirstColumn="0" w:lastRowLastColumn="0"/>
            </w:pPr>
            <w:r>
              <w:t>2</w:t>
            </w:r>
          </w:p>
        </w:tc>
      </w:tr>
      <w:tr w:rsidR="00C74838" w14:paraId="4852F9B3" w14:textId="77777777" w:rsidTr="00C74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881BCFD" w14:textId="6638B942" w:rsidR="00C74838" w:rsidRPr="00C74838" w:rsidRDefault="00C74838" w:rsidP="00892AE6">
            <w:pPr>
              <w:pStyle w:val="EcorysBody"/>
              <w:jc w:val="both"/>
            </w:pPr>
            <w:r>
              <w:t>Payment By Results</w:t>
            </w:r>
          </w:p>
        </w:tc>
        <w:tc>
          <w:tcPr>
            <w:tcW w:w="4246" w:type="dxa"/>
            <w:gridSpan w:val="2"/>
          </w:tcPr>
          <w:p w14:paraId="443BE1D1" w14:textId="292800D4" w:rsidR="00C74838" w:rsidRDefault="00C74838" w:rsidP="00C74838">
            <w:pPr>
              <w:pStyle w:val="EcorysBody"/>
              <w:jc w:val="center"/>
              <w:cnfStyle w:val="000000100000" w:firstRow="0" w:lastRow="0" w:firstColumn="0" w:lastColumn="0" w:oddVBand="0" w:evenVBand="0" w:oddHBand="1" w:evenHBand="0" w:firstRowFirstColumn="0" w:firstRowLastColumn="0" w:lastRowFirstColumn="0" w:lastRowLastColumn="0"/>
            </w:pPr>
            <w:r>
              <w:t>1</w:t>
            </w:r>
          </w:p>
        </w:tc>
      </w:tr>
      <w:tr w:rsidR="00C74838" w14:paraId="4B6CFBDE" w14:textId="77777777" w:rsidTr="00C74838">
        <w:tc>
          <w:tcPr>
            <w:cnfStyle w:val="001000000000" w:firstRow="0" w:lastRow="0" w:firstColumn="1" w:lastColumn="0" w:oddVBand="0" w:evenVBand="0" w:oddHBand="0" w:evenHBand="0" w:firstRowFirstColumn="0" w:firstRowLastColumn="0" w:lastRowFirstColumn="0" w:lastRowLastColumn="0"/>
            <w:tcW w:w="4815" w:type="dxa"/>
          </w:tcPr>
          <w:p w14:paraId="30A9D79A" w14:textId="507C88DA" w:rsidR="00C74838" w:rsidRDefault="00C74838" w:rsidP="00892AE6">
            <w:pPr>
              <w:pStyle w:val="EcorysBody"/>
              <w:jc w:val="both"/>
            </w:pPr>
            <w:r>
              <w:t xml:space="preserve">Alliance </w:t>
            </w:r>
            <w:r w:rsidR="00256B98">
              <w:t>contracting</w:t>
            </w:r>
          </w:p>
        </w:tc>
        <w:tc>
          <w:tcPr>
            <w:tcW w:w="4246" w:type="dxa"/>
            <w:gridSpan w:val="2"/>
          </w:tcPr>
          <w:p w14:paraId="7EC0F466" w14:textId="05BF6574" w:rsidR="00C74838" w:rsidRDefault="00C74838" w:rsidP="00C74838">
            <w:pPr>
              <w:pStyle w:val="EcorysBody"/>
              <w:jc w:val="center"/>
              <w:cnfStyle w:val="000000000000" w:firstRow="0" w:lastRow="0" w:firstColumn="0" w:lastColumn="0" w:oddVBand="0" w:evenVBand="0" w:oddHBand="0" w:evenHBand="0" w:firstRowFirstColumn="0" w:firstRowLastColumn="0" w:lastRowFirstColumn="0" w:lastRowLastColumn="0"/>
            </w:pPr>
            <w:r>
              <w:t>2</w:t>
            </w:r>
          </w:p>
        </w:tc>
      </w:tr>
      <w:tr w:rsidR="00C74838" w14:paraId="6772B899" w14:textId="77777777" w:rsidTr="00C74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DBD5935" w14:textId="6CC84A92" w:rsidR="00C74838" w:rsidRDefault="00C74838" w:rsidP="00892AE6">
            <w:pPr>
              <w:pStyle w:val="EcorysBody"/>
              <w:jc w:val="both"/>
            </w:pPr>
            <w:r>
              <w:t>Fee for Service</w:t>
            </w:r>
          </w:p>
        </w:tc>
        <w:tc>
          <w:tcPr>
            <w:tcW w:w="4246" w:type="dxa"/>
            <w:gridSpan w:val="2"/>
          </w:tcPr>
          <w:p w14:paraId="14143CF1" w14:textId="5AE1C723" w:rsidR="00C74838" w:rsidRDefault="00C74838" w:rsidP="00C74838">
            <w:pPr>
              <w:pStyle w:val="EcorysBody"/>
              <w:jc w:val="center"/>
              <w:cnfStyle w:val="000000100000" w:firstRow="0" w:lastRow="0" w:firstColumn="0" w:lastColumn="0" w:oddVBand="0" w:evenVBand="0" w:oddHBand="1" w:evenHBand="0" w:firstRowFirstColumn="0" w:firstRowLastColumn="0" w:lastRowFirstColumn="0" w:lastRowLastColumn="0"/>
            </w:pPr>
            <w:r>
              <w:t>5</w:t>
            </w:r>
          </w:p>
        </w:tc>
      </w:tr>
      <w:tr w:rsidR="00C74838" w14:paraId="628AA60E" w14:textId="77777777" w:rsidTr="00C74838">
        <w:tc>
          <w:tcPr>
            <w:cnfStyle w:val="001000000000" w:firstRow="0" w:lastRow="0" w:firstColumn="1" w:lastColumn="0" w:oddVBand="0" w:evenVBand="0" w:oddHBand="0" w:evenHBand="0" w:firstRowFirstColumn="0" w:firstRowLastColumn="0" w:lastRowFirstColumn="0" w:lastRowLastColumn="0"/>
            <w:tcW w:w="4815" w:type="dxa"/>
            <w:shd w:val="clear" w:color="auto" w:fill="3BAFFF" w:themeFill="accent1" w:themeFillTint="99"/>
          </w:tcPr>
          <w:p w14:paraId="64900F5A" w14:textId="25F878D5" w:rsidR="00C74838" w:rsidRDefault="00C718C3" w:rsidP="00892AE6">
            <w:pPr>
              <w:pStyle w:val="EcorysBody"/>
              <w:jc w:val="both"/>
            </w:pPr>
            <w:r>
              <w:t>Policy area</w:t>
            </w:r>
            <w:r w:rsidR="00C74838">
              <w:t xml:space="preserve"> of intervention discussed</w:t>
            </w:r>
          </w:p>
        </w:tc>
        <w:tc>
          <w:tcPr>
            <w:tcW w:w="4246" w:type="dxa"/>
            <w:gridSpan w:val="2"/>
            <w:shd w:val="clear" w:color="auto" w:fill="3BAFFF" w:themeFill="accent1" w:themeFillTint="99"/>
          </w:tcPr>
          <w:p w14:paraId="05A9EA35" w14:textId="77777777" w:rsidR="00C74838" w:rsidRDefault="00C74838" w:rsidP="00C74838">
            <w:pPr>
              <w:pStyle w:val="EcorysBody"/>
              <w:jc w:val="center"/>
              <w:cnfStyle w:val="000000000000" w:firstRow="0" w:lastRow="0" w:firstColumn="0" w:lastColumn="0" w:oddVBand="0" w:evenVBand="0" w:oddHBand="0" w:evenHBand="0" w:firstRowFirstColumn="0" w:firstRowLastColumn="0" w:lastRowFirstColumn="0" w:lastRowLastColumn="0"/>
            </w:pPr>
          </w:p>
        </w:tc>
      </w:tr>
      <w:tr w:rsidR="00C74838" w14:paraId="2CAB49F8" w14:textId="77777777" w:rsidTr="00C74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796C36E" w14:textId="18651A23" w:rsidR="00C74838" w:rsidRDefault="00C74838" w:rsidP="00892AE6">
            <w:pPr>
              <w:pStyle w:val="EcorysBody"/>
              <w:jc w:val="both"/>
            </w:pPr>
            <w:r>
              <w:t>Health</w:t>
            </w:r>
          </w:p>
        </w:tc>
        <w:tc>
          <w:tcPr>
            <w:tcW w:w="4246" w:type="dxa"/>
            <w:gridSpan w:val="2"/>
          </w:tcPr>
          <w:p w14:paraId="5DD4180B" w14:textId="7BB90EB2" w:rsidR="00C74838" w:rsidRDefault="002957A7" w:rsidP="00C74838">
            <w:pPr>
              <w:pStyle w:val="EcorysBody"/>
              <w:jc w:val="center"/>
              <w:cnfStyle w:val="000000100000" w:firstRow="0" w:lastRow="0" w:firstColumn="0" w:lastColumn="0" w:oddVBand="0" w:evenVBand="0" w:oddHBand="1" w:evenHBand="0" w:firstRowFirstColumn="0" w:firstRowLastColumn="0" w:lastRowFirstColumn="0" w:lastRowLastColumn="0"/>
            </w:pPr>
            <w:r>
              <w:t>2</w:t>
            </w:r>
          </w:p>
        </w:tc>
      </w:tr>
      <w:tr w:rsidR="00C74838" w14:paraId="2EFF0D7B" w14:textId="77777777" w:rsidTr="00C74838">
        <w:tc>
          <w:tcPr>
            <w:cnfStyle w:val="001000000000" w:firstRow="0" w:lastRow="0" w:firstColumn="1" w:lastColumn="0" w:oddVBand="0" w:evenVBand="0" w:oddHBand="0" w:evenHBand="0" w:firstRowFirstColumn="0" w:firstRowLastColumn="0" w:lastRowFirstColumn="0" w:lastRowLastColumn="0"/>
            <w:tcW w:w="4815" w:type="dxa"/>
          </w:tcPr>
          <w:p w14:paraId="24AA53DA" w14:textId="4F79E15A" w:rsidR="00C74838" w:rsidRDefault="00C74838" w:rsidP="00892AE6">
            <w:pPr>
              <w:pStyle w:val="EcorysBody"/>
              <w:jc w:val="both"/>
            </w:pPr>
            <w:r>
              <w:t>Adult Social Care</w:t>
            </w:r>
          </w:p>
        </w:tc>
        <w:tc>
          <w:tcPr>
            <w:tcW w:w="4246" w:type="dxa"/>
            <w:gridSpan w:val="2"/>
          </w:tcPr>
          <w:p w14:paraId="355F95B5" w14:textId="4C6938E9" w:rsidR="00C74838" w:rsidRDefault="002957A7" w:rsidP="00C74838">
            <w:pPr>
              <w:pStyle w:val="EcorysBody"/>
              <w:jc w:val="center"/>
              <w:cnfStyle w:val="000000000000" w:firstRow="0" w:lastRow="0" w:firstColumn="0" w:lastColumn="0" w:oddVBand="0" w:evenVBand="0" w:oddHBand="0" w:evenHBand="0" w:firstRowFirstColumn="0" w:firstRowLastColumn="0" w:lastRowFirstColumn="0" w:lastRowLastColumn="0"/>
            </w:pPr>
            <w:r>
              <w:t>2</w:t>
            </w:r>
          </w:p>
        </w:tc>
      </w:tr>
      <w:tr w:rsidR="00C74838" w14:paraId="3D15B1CF" w14:textId="77777777" w:rsidTr="00C748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83934A9" w14:textId="4ABC23B8" w:rsidR="00C74838" w:rsidRDefault="00C74838" w:rsidP="00892AE6">
            <w:pPr>
              <w:pStyle w:val="EcorysBody"/>
              <w:jc w:val="both"/>
            </w:pPr>
            <w:r>
              <w:t>Children’s Social Care</w:t>
            </w:r>
          </w:p>
        </w:tc>
        <w:tc>
          <w:tcPr>
            <w:tcW w:w="4246" w:type="dxa"/>
            <w:gridSpan w:val="2"/>
          </w:tcPr>
          <w:p w14:paraId="35A604DF" w14:textId="6FD7FF47" w:rsidR="00C74838" w:rsidRDefault="002957A7" w:rsidP="00C74838">
            <w:pPr>
              <w:pStyle w:val="EcorysBody"/>
              <w:jc w:val="center"/>
              <w:cnfStyle w:val="000000100000" w:firstRow="0" w:lastRow="0" w:firstColumn="0" w:lastColumn="0" w:oddVBand="0" w:evenVBand="0" w:oddHBand="1" w:evenHBand="0" w:firstRowFirstColumn="0" w:firstRowLastColumn="0" w:lastRowFirstColumn="0" w:lastRowLastColumn="0"/>
            </w:pPr>
            <w:r>
              <w:t>6</w:t>
            </w:r>
          </w:p>
        </w:tc>
      </w:tr>
    </w:tbl>
    <w:p w14:paraId="7E6CCA95" w14:textId="77777777" w:rsidR="009A53B2" w:rsidRDefault="009A53B2" w:rsidP="009A53B2">
      <w:pPr>
        <w:pStyle w:val="EcorysBody"/>
      </w:pPr>
    </w:p>
    <w:p w14:paraId="37C1D429" w14:textId="5F57093E" w:rsidR="009A53B2" w:rsidRPr="00420CB1" w:rsidRDefault="00827C79" w:rsidP="00420CB1">
      <w:pPr>
        <w:pStyle w:val="EcorysBody"/>
      </w:pPr>
      <w:r w:rsidRPr="00420CB1">
        <w:t xml:space="preserve">Depending on stakeholder preference, we undertook the </w:t>
      </w:r>
      <w:r w:rsidR="00EE053E">
        <w:t>qualitative research</w:t>
      </w:r>
      <w:r w:rsidR="009A53B2" w:rsidRPr="00420CB1">
        <w:t xml:space="preserve"> remotely using MS Teams</w:t>
      </w:r>
      <w:r w:rsidR="00256B98" w:rsidRPr="00420CB1">
        <w:t xml:space="preserve"> or facilitated interviews/workshops</w:t>
      </w:r>
      <w:r w:rsidR="009A53B2" w:rsidRPr="00420CB1">
        <w:t xml:space="preserve"> in-person, from August 2023-November 2023.</w:t>
      </w:r>
    </w:p>
    <w:p w14:paraId="148DD7F4" w14:textId="4E005940" w:rsidR="00AD2CF2" w:rsidRDefault="00AD2CF2" w:rsidP="00AD2CF2">
      <w:pPr>
        <w:pStyle w:val="EcorysSectionLevel03"/>
      </w:pPr>
      <w:bookmarkStart w:id="18" w:name="_Toc167437664"/>
      <w:r>
        <w:t>Limitations</w:t>
      </w:r>
      <w:bookmarkEnd w:id="18"/>
    </w:p>
    <w:p w14:paraId="659B2B86" w14:textId="59931FD6" w:rsidR="00AD2CF2" w:rsidRDefault="00AD2CF2" w:rsidP="00AD2CF2">
      <w:pPr>
        <w:pStyle w:val="EcorysBody"/>
      </w:pPr>
      <w:r>
        <w:t xml:space="preserve">There </w:t>
      </w:r>
      <w:r w:rsidR="00C718C3">
        <w:t>we</w:t>
      </w:r>
      <w:r>
        <w:t xml:space="preserve">re </w:t>
      </w:r>
      <w:r w:rsidR="00892AE6">
        <w:t>several</w:t>
      </w:r>
      <w:r>
        <w:t xml:space="preserve"> limitations to </w:t>
      </w:r>
      <w:r w:rsidR="00892AE6">
        <w:t>our approach</w:t>
      </w:r>
      <w:r>
        <w:t xml:space="preserve"> which must be considered:</w:t>
      </w:r>
    </w:p>
    <w:p w14:paraId="209BE532" w14:textId="10C48384" w:rsidR="00AB7EF7" w:rsidRPr="00AB7EF7" w:rsidRDefault="00AB7EF7" w:rsidP="00AB7EF7">
      <w:pPr>
        <w:pStyle w:val="EcorysBullet01"/>
      </w:pPr>
      <w:r>
        <w:t xml:space="preserve">The broad scope of the research, and the limited time to search for and review literature </w:t>
      </w:r>
      <w:bookmarkStart w:id="19" w:name="_Int_f4tB3vhO"/>
      <w:r>
        <w:t>likely resulted</w:t>
      </w:r>
      <w:bookmarkEnd w:id="19"/>
      <w:r>
        <w:t xml:space="preserve"> in </w:t>
      </w:r>
      <w:r w:rsidR="0025134A">
        <w:t xml:space="preserve">some </w:t>
      </w:r>
      <w:r>
        <w:t xml:space="preserve">gaps in our coverage of </w:t>
      </w:r>
      <w:bookmarkStart w:id="20" w:name="_Int_v9TIUMGH"/>
      <w:r>
        <w:t>particular topic</w:t>
      </w:r>
      <w:bookmarkEnd w:id="20"/>
      <w:r>
        <w:t xml:space="preserve"> areas. </w:t>
      </w:r>
    </w:p>
    <w:p w14:paraId="46ED373C" w14:textId="2A92583D" w:rsidR="00AD2CF2" w:rsidRDefault="00AD2CF2" w:rsidP="00AD2CF2">
      <w:pPr>
        <w:pStyle w:val="EcorysBullet01"/>
        <w:spacing w:after="180" w:line="300" w:lineRule="auto"/>
        <w:ind w:left="567"/>
        <w:jc w:val="both"/>
      </w:pPr>
      <w:r>
        <w:t>Specific parameters were applied to the search (e.g. date of publication</w:t>
      </w:r>
      <w:r w:rsidR="009744BD">
        <w:t xml:space="preserve"> (from 2018)</w:t>
      </w:r>
      <w:r w:rsidR="0006324A">
        <w:t>, geography</w:t>
      </w:r>
      <w:r w:rsidR="00C814E3">
        <w:t xml:space="preserve"> (England only)</w:t>
      </w:r>
      <w:r w:rsidR="0006324A">
        <w:t>, language</w:t>
      </w:r>
      <w:r w:rsidR="00C814E3">
        <w:t xml:space="preserve"> (English only)</w:t>
      </w:r>
      <w:r>
        <w:t xml:space="preserve">), meaning that not all research into this area </w:t>
      </w:r>
      <w:r w:rsidR="0025134A">
        <w:t>was</w:t>
      </w:r>
      <w:r>
        <w:t xml:space="preserve"> included.</w:t>
      </w:r>
    </w:p>
    <w:p w14:paraId="156CD0C4" w14:textId="633E3507" w:rsidR="00AD2CF2" w:rsidRDefault="00AD2CF2" w:rsidP="00AD2CF2">
      <w:pPr>
        <w:pStyle w:val="EcorysBullet01"/>
        <w:spacing w:after="180" w:line="300" w:lineRule="auto"/>
        <w:ind w:left="567"/>
        <w:jc w:val="both"/>
      </w:pPr>
      <w:bookmarkStart w:id="21" w:name="_Int_SCxYEpDw"/>
      <w:r>
        <w:t>In order to</w:t>
      </w:r>
      <w:bookmarkEnd w:id="21"/>
      <w:r>
        <w:t xml:space="preserve"> ensure, where possible, that all contracting types were covered, </w:t>
      </w:r>
      <w:r w:rsidR="00B46885">
        <w:t>some literature that scored lower on the ‘quality appraisal</w:t>
      </w:r>
      <w:r w:rsidR="00605463">
        <w:t>’ was</w:t>
      </w:r>
      <w:r>
        <w:t xml:space="preserve"> included in our final sample. </w:t>
      </w:r>
    </w:p>
    <w:p w14:paraId="2B2A43E5" w14:textId="290A80E4" w:rsidR="002957A7" w:rsidRDefault="002957A7">
      <w:pPr>
        <w:pStyle w:val="EcorysBullet01"/>
        <w:spacing w:after="180" w:line="300" w:lineRule="auto"/>
        <w:ind w:left="567"/>
        <w:jc w:val="both"/>
      </w:pPr>
      <w:r>
        <w:lastRenderedPageBreak/>
        <w:t xml:space="preserve">Strains on </w:t>
      </w:r>
      <w:r w:rsidR="00431CCF">
        <w:t>LA</w:t>
      </w:r>
      <w:r>
        <w:t xml:space="preserve"> capacity caused challenges in engaging LA commissioners for the research, which caused difficulties achieving </w:t>
      </w:r>
      <w:r w:rsidR="00CD1C5B">
        <w:t xml:space="preserve">the intended sample (12 </w:t>
      </w:r>
      <w:r w:rsidR="00B15F0B">
        <w:t>LAs</w:t>
      </w:r>
      <w:r w:rsidR="00CD1C5B">
        <w:t>)</w:t>
      </w:r>
      <w:r w:rsidR="00B15F0B">
        <w:t xml:space="preserve"> and </w:t>
      </w:r>
      <w:r w:rsidR="0044799A">
        <w:t>ensuring sufficient spread across the different contracting types (for example, only one local authority could speak about</w:t>
      </w:r>
      <w:r w:rsidR="009A4B56">
        <w:t xml:space="preserve"> the use of PbR contract)</w:t>
      </w:r>
      <w:r w:rsidR="004409DD">
        <w:t>.</w:t>
      </w:r>
    </w:p>
    <w:p w14:paraId="03C7B954" w14:textId="3559F23E" w:rsidR="00AD2CF2" w:rsidRDefault="002957A7" w:rsidP="00AD2CF2">
      <w:pPr>
        <w:pStyle w:val="EcorysBullet01"/>
        <w:spacing w:after="180" w:line="300" w:lineRule="auto"/>
        <w:ind w:left="567"/>
        <w:jc w:val="both"/>
      </w:pPr>
      <w:r>
        <w:t xml:space="preserve">Budgetary constraints in </w:t>
      </w:r>
      <w:r w:rsidR="004409DD">
        <w:t>LA</w:t>
      </w:r>
      <w:r>
        <w:t xml:space="preserve"> departments limited our ability to assess all sectors identified in the REAs, such as Youth Engagement</w:t>
      </w:r>
      <w:r w:rsidR="009A4B56">
        <w:t>,</w:t>
      </w:r>
      <w:r w:rsidR="00EC2A86">
        <w:t xml:space="preserve"> where </w:t>
      </w:r>
      <w:r w:rsidR="00C454D5">
        <w:t xml:space="preserve">commissioners told us a </w:t>
      </w:r>
      <w:r w:rsidR="00EC2A86">
        <w:t>lack of budget has meant there have not been many new interventions commissioned in recent years</w:t>
      </w:r>
      <w:r>
        <w:t>.</w:t>
      </w:r>
    </w:p>
    <w:p w14:paraId="0A91AC20" w14:textId="77777777" w:rsidR="00AD2CF2" w:rsidRDefault="00AD2CF2" w:rsidP="00AD2CF2">
      <w:pPr>
        <w:pStyle w:val="EcorysSectionLevel02"/>
      </w:pPr>
      <w:bookmarkStart w:id="22" w:name="_Toc167437665"/>
      <w:r>
        <w:t>Report Structure</w:t>
      </w:r>
      <w:bookmarkEnd w:id="22"/>
    </w:p>
    <w:p w14:paraId="1184EE97" w14:textId="77777777" w:rsidR="00AD2CF2" w:rsidRDefault="00AD2CF2" w:rsidP="00AD2CF2">
      <w:pPr>
        <w:pStyle w:val="EcorysBody"/>
        <w:rPr>
          <w:lang w:eastAsia="en-GB"/>
        </w:rPr>
      </w:pPr>
      <w:r w:rsidRPr="003D725A">
        <w:rPr>
          <w:lang w:eastAsia="en-GB"/>
        </w:rPr>
        <w:t xml:space="preserve">The subsequent chapters present the findings from </w:t>
      </w:r>
      <w:r>
        <w:rPr>
          <w:lang w:eastAsia="en-GB"/>
        </w:rPr>
        <w:t>the study:</w:t>
      </w:r>
    </w:p>
    <w:p w14:paraId="33C1DBB7" w14:textId="28F93A00" w:rsidR="00AD2CF2" w:rsidRDefault="00AD2CF2" w:rsidP="00AD2CF2">
      <w:pPr>
        <w:pStyle w:val="EcorysBullet01"/>
      </w:pPr>
      <w:r>
        <w:t>Chapter 2 assess</w:t>
      </w:r>
      <w:r w:rsidR="00021A3D">
        <w:t>es</w:t>
      </w:r>
      <w:r>
        <w:t xml:space="preserve"> the factors local government commissioners consider when commissioning social</w:t>
      </w:r>
      <w:r w:rsidR="00A96CAF">
        <w:t xml:space="preserve"> and health</w:t>
      </w:r>
      <w:r>
        <w:t xml:space="preserve"> interventions.</w:t>
      </w:r>
    </w:p>
    <w:p w14:paraId="2F16D28C" w14:textId="3C0C32EA" w:rsidR="00AD2CF2" w:rsidRDefault="00AD2CF2" w:rsidP="00AD2CF2">
      <w:pPr>
        <w:pStyle w:val="EcorysBullet01"/>
      </w:pPr>
      <w:r>
        <w:t xml:space="preserve">Chapter 3 articulates </w:t>
      </w:r>
      <w:r w:rsidR="00B41E3A">
        <w:t>i</w:t>
      </w:r>
      <w:r>
        <w:t>f, how, when, and why these factors affect choice of contracting approach.</w:t>
      </w:r>
    </w:p>
    <w:p w14:paraId="19EC3040" w14:textId="049A24EE" w:rsidR="00DC6D94" w:rsidRDefault="00AD2CF2" w:rsidP="00DC6D94">
      <w:pPr>
        <w:pStyle w:val="EcorysBullet01"/>
      </w:pPr>
      <w:r>
        <w:t xml:space="preserve">Chapter 4 </w:t>
      </w:r>
      <w:r w:rsidR="00B41E3A">
        <w:t>considers the i</w:t>
      </w:r>
      <w:r>
        <w:t>mplication</w:t>
      </w:r>
      <w:r w:rsidR="000939A6">
        <w:t>s</w:t>
      </w:r>
      <w:r>
        <w:t xml:space="preserve"> of these factors for </w:t>
      </w:r>
      <w:r w:rsidR="00A96CAF">
        <w:t xml:space="preserve">the </w:t>
      </w:r>
      <w:r>
        <w:t>commissioning of Social Impact Bonds.</w:t>
      </w:r>
    </w:p>
    <w:p w14:paraId="54468E85" w14:textId="325F86DB" w:rsidR="00325D0C" w:rsidRPr="00AD2CF2" w:rsidRDefault="00DC6D94" w:rsidP="00DC6D94">
      <w:pPr>
        <w:pStyle w:val="EcorysBullet01"/>
      </w:pPr>
      <w:r>
        <w:t xml:space="preserve">The conclusion brings together the key messages from the </w:t>
      </w:r>
      <w:r w:rsidR="291498E9">
        <w:t>study. ￼</w:t>
      </w:r>
    </w:p>
    <w:p w14:paraId="4FAA7323" w14:textId="6533F344" w:rsidR="00325D0C" w:rsidRDefault="00325D0C" w:rsidP="00325D0C">
      <w:pPr>
        <w:pStyle w:val="Heading1"/>
      </w:pPr>
      <w:bookmarkStart w:id="23" w:name="_Toc167437666"/>
      <w:bookmarkStart w:id="24" w:name="_Hlk167184627"/>
      <w:r>
        <w:t>What factors local government commissioners consider</w:t>
      </w:r>
      <w:bookmarkEnd w:id="23"/>
    </w:p>
    <w:p w14:paraId="57986482" w14:textId="12FF7DDA" w:rsidR="00686C14" w:rsidRPr="00686C14" w:rsidRDefault="00686C14" w:rsidP="00686C14">
      <w:pPr>
        <w:pStyle w:val="EcorysBody"/>
        <w:jc w:val="both"/>
      </w:pPr>
      <w:r w:rsidRPr="00686C14">
        <w:t xml:space="preserve">This section explores what factors commissioners consider or are confronted by when commissioning social interventions, in terms of choosing a contracting approach. As highlighted in Section </w:t>
      </w:r>
      <w:r>
        <w:t>1</w:t>
      </w:r>
      <w:r w:rsidRPr="00686C14">
        <w:t>.</w:t>
      </w:r>
      <w:r>
        <w:t>2</w:t>
      </w:r>
      <w:r w:rsidRPr="00686C14">
        <w:t>, this section is structured around the PESTLE factors</w:t>
      </w:r>
      <w:r>
        <w:t xml:space="preserve"> and informed by a rapid evidence assessment and </w:t>
      </w:r>
      <w:r w:rsidR="00180BA7">
        <w:t>qualitative research</w:t>
      </w:r>
      <w:r>
        <w:t xml:space="preserve"> with local authority commissioners</w:t>
      </w:r>
      <w:r w:rsidR="00AD0D2E">
        <w:t xml:space="preserve"> working across health, adult social care,</w:t>
      </w:r>
      <w:r w:rsidR="00C46D86">
        <w:t xml:space="preserve"> and</w:t>
      </w:r>
      <w:r w:rsidR="00AD0D2E">
        <w:t xml:space="preserve"> children</w:t>
      </w:r>
      <w:r w:rsidR="00C46D86">
        <w:t>’s social care</w:t>
      </w:r>
      <w:r w:rsidRPr="00686C14">
        <w:t>. The analysis below also considers where the evidence is strongest and where it is weakest (or where there are gaps).</w:t>
      </w:r>
    </w:p>
    <w:p w14:paraId="1710FA10" w14:textId="75303E33" w:rsidR="00325D0C" w:rsidRDefault="00325D0C" w:rsidP="00325D0C">
      <w:pPr>
        <w:pStyle w:val="EcorysSectionLevel02"/>
      </w:pPr>
      <w:bookmarkStart w:id="25" w:name="_Toc167437667"/>
      <w:r>
        <w:t>Political factors</w:t>
      </w:r>
      <w:bookmarkEnd w:id="25"/>
      <w:r w:rsidR="004E13C8">
        <w:t xml:space="preserve"> </w:t>
      </w:r>
    </w:p>
    <w:p w14:paraId="4092B90B" w14:textId="6DA17C9F" w:rsidR="00686C14" w:rsidRDefault="00686C14" w:rsidP="00FC37A2">
      <w:pPr>
        <w:pStyle w:val="EcorysBody"/>
        <w:jc w:val="both"/>
      </w:pPr>
      <w:r w:rsidRPr="00686C14">
        <w:t xml:space="preserve">This </w:t>
      </w:r>
      <w:r>
        <w:t>sub-</w:t>
      </w:r>
      <w:r w:rsidRPr="00686C14">
        <w:t>section discusses the evidence on the influence of political factors on commissioner decision-making. In this context, political factors relate to the effects of government and its central and local priorities on the commissioning ecosystems, embedded through mechanisms such as legislation, policies, and ideological views.</w:t>
      </w:r>
    </w:p>
    <w:p w14:paraId="4BC85545" w14:textId="75FC3499" w:rsidR="00FC37A2" w:rsidRDefault="00FC37A2" w:rsidP="00FC37A2">
      <w:pPr>
        <w:pStyle w:val="EcorysBody"/>
        <w:jc w:val="both"/>
      </w:pPr>
      <w:r>
        <w:t xml:space="preserve">Evidence from the REA and, in a more limited capacity, from </w:t>
      </w:r>
      <w:r w:rsidR="000172D3">
        <w:t>primary research</w:t>
      </w:r>
      <w:r>
        <w:t xml:space="preserve"> indicates that </w:t>
      </w:r>
      <w:r w:rsidRPr="6002C6A8">
        <w:rPr>
          <w:b/>
          <w:bCs/>
        </w:rPr>
        <w:t xml:space="preserve">central government policy has influenced how </w:t>
      </w:r>
      <w:bookmarkStart w:id="26" w:name="_Int_Gd2x5asp"/>
      <w:r w:rsidRPr="6002C6A8">
        <w:rPr>
          <w:b/>
          <w:bCs/>
        </w:rPr>
        <w:t>commissioners</w:t>
      </w:r>
      <w:bookmarkEnd w:id="26"/>
      <w:r w:rsidRPr="6002C6A8">
        <w:rPr>
          <w:b/>
          <w:bCs/>
        </w:rPr>
        <w:t xml:space="preserve"> contract social services</w:t>
      </w:r>
      <w:r w:rsidR="004818A3" w:rsidRPr="6002C6A8">
        <w:rPr>
          <w:b/>
          <w:bCs/>
        </w:rPr>
        <w:t xml:space="preserve"> and the contracting approach they opt for</w:t>
      </w:r>
      <w:r>
        <w:t xml:space="preserve">. More specifically, the literature reviewed suggests that central government has transitioned from favouring traditional commissioning, focused on rigidly specified activities, to outcome-based models of commissioning. Between the mid-1990s and </w:t>
      </w:r>
      <w:r w:rsidR="00FC48A0">
        <w:t>late</w:t>
      </w:r>
      <w:r>
        <w:t xml:space="preserve"> 20</w:t>
      </w:r>
      <w:r w:rsidR="00A777F7">
        <w:t>0</w:t>
      </w:r>
      <w:r>
        <w:t>0s, under the New Labour government</w:t>
      </w:r>
      <w:r w:rsidR="002D0B11">
        <w:t xml:space="preserve"> (i.e. the Government at the time)</w:t>
      </w:r>
      <w:r>
        <w:t>, emphasis was increasingly placed on responsiveness to needs and performance monitoring practice. Although there is still debate in the literature on the effectiveness of outcome-based commissioning and its diverse contracting approaches, this trend has been reinforced over time by value-for-money considerations in the context of reduced government budgets (Robertson and Ewbank</w:t>
      </w:r>
      <w:r w:rsidR="00021A3D">
        <w:t>,</w:t>
      </w:r>
      <w:r>
        <w:t xml:space="preserve"> 2020). Outcome-based approaches allow for reimbursement to be conditional upon providers delivering agreed outcomes, hence transferring the financial </w:t>
      </w:r>
      <w:r w:rsidR="009410A6">
        <w:t xml:space="preserve">risk </w:t>
      </w:r>
      <w:r>
        <w:t>of non-delivery from government to providers</w:t>
      </w:r>
      <w:r w:rsidR="00351073">
        <w:t xml:space="preserve"> or </w:t>
      </w:r>
      <w:r w:rsidR="00605463">
        <w:t>third parties</w:t>
      </w:r>
      <w:r w:rsidR="00351073">
        <w:t xml:space="preserve"> such as investors</w:t>
      </w:r>
      <w:r>
        <w:t xml:space="preserve"> (Robertson and Ewbank, 2020). </w:t>
      </w:r>
      <w:r w:rsidR="002D044E">
        <w:t xml:space="preserve">Commissioners interviewed from one local authority </w:t>
      </w:r>
      <w:r>
        <w:t xml:space="preserve">noted that a focus on outcomes has been reflected in policies such as the Care Act 2014, which goes beyond an assessment of needs to emphasise individuals’ desired outcomes in determining their eligibility for adult social care. The consensus between the REA and </w:t>
      </w:r>
      <w:r w:rsidR="000172D3">
        <w:t>primary research</w:t>
      </w:r>
      <w:r>
        <w:t xml:space="preserve"> demonstrates moderate evidence that central government has increased its openness to outcome-based models, </w:t>
      </w:r>
      <w:r>
        <w:lastRenderedPageBreak/>
        <w:t xml:space="preserve">primarily </w:t>
      </w:r>
      <w:bookmarkStart w:id="27" w:name="_Int_Lqd0SuqI"/>
      <w:r>
        <w:t>as a result of</w:t>
      </w:r>
      <w:bookmarkEnd w:id="27"/>
      <w:r>
        <w:t xml:space="preserve"> their </w:t>
      </w:r>
      <w:r w:rsidR="00015848">
        <w:t xml:space="preserve">potential </w:t>
      </w:r>
      <w:r>
        <w:t xml:space="preserve">cost saving implications. </w:t>
      </w:r>
      <w:r w:rsidR="002C008C">
        <w:t>However, a</w:t>
      </w:r>
      <w:r w:rsidR="0039102F">
        <w:t xml:space="preserve">s discussed further in section 2.2, there is mixed evidence on </w:t>
      </w:r>
      <w:bookmarkStart w:id="28" w:name="_Int_xzXEgVBu"/>
      <w:r w:rsidR="0039102F">
        <w:t xml:space="preserve">whether </w:t>
      </w:r>
      <w:r w:rsidR="00564299">
        <w:t>or not</w:t>
      </w:r>
      <w:bookmarkEnd w:id="28"/>
      <w:r w:rsidR="00564299">
        <w:t xml:space="preserve"> </w:t>
      </w:r>
      <w:r w:rsidR="0039102F">
        <w:t>the restrictive fiscal climate has consistently translated into</w:t>
      </w:r>
      <w:r w:rsidR="002C008C">
        <w:t xml:space="preserve"> local authorities deciding</w:t>
      </w:r>
      <w:r w:rsidR="0039102F">
        <w:t xml:space="preserve"> to utilise more innovative contracting models</w:t>
      </w:r>
      <w:r w:rsidR="55FB2C90">
        <w:t xml:space="preserve">. </w:t>
      </w:r>
    </w:p>
    <w:p w14:paraId="60771336" w14:textId="3CE67284" w:rsidR="00FC37A2" w:rsidRDefault="00FC37A2" w:rsidP="00FC37A2">
      <w:pPr>
        <w:pStyle w:val="EcorysBody"/>
        <w:jc w:val="both"/>
      </w:pPr>
      <w:bookmarkStart w:id="29" w:name="_Int_r8zOpS9u"/>
      <w:r w:rsidRPr="00FC37A2">
        <w:t>In order to</w:t>
      </w:r>
      <w:bookmarkEnd w:id="29"/>
      <w:r w:rsidRPr="00FC37A2">
        <w:t xml:space="preserve"> achieve holistic health and wellbeing, the literature points to a </w:t>
      </w:r>
      <w:r w:rsidRPr="00FC37A2">
        <w:rPr>
          <w:b/>
          <w:bCs/>
        </w:rPr>
        <w:t>growing recognition across government of the need for local commissioners to work in more integrated ways</w:t>
      </w:r>
      <w:r w:rsidRPr="00FC37A2">
        <w:t>, for instance by bridging the gap between health and social care as well as other complementary support services.</w:t>
      </w:r>
      <w:r>
        <w:t xml:space="preserve"> </w:t>
      </w:r>
      <w:r w:rsidRPr="00FC37A2">
        <w:t>According to a recent report by Big Society Capital (</w:t>
      </w:r>
      <w:r w:rsidR="00DC54F1">
        <w:t>Johal and Ng, 2022</w:t>
      </w:r>
      <w:r w:rsidRPr="00FC37A2">
        <w:t>), some complex issues such as homelessness are best addressed through a multi-agency approach with support from sectors including health, education, employment, and criminal justice</w:t>
      </w:r>
      <w:r>
        <w:t xml:space="preserve">. Similarly, children’s social care commissioners consulted as part of </w:t>
      </w:r>
      <w:r w:rsidR="000172D3">
        <w:t>the primary research</w:t>
      </w:r>
      <w:r>
        <w:t xml:space="preserve"> emphasised the complementarity of services by pointing out how gaps in the provision of health and housing support can </w:t>
      </w:r>
      <w:r w:rsidR="00CB6C30">
        <w:t xml:space="preserve">lead to families experiencing more challenges, </w:t>
      </w:r>
      <w:r w:rsidR="008E7A1A">
        <w:t>which</w:t>
      </w:r>
      <w:r w:rsidR="00CB6C30">
        <w:t xml:space="preserve"> could then </w:t>
      </w:r>
      <w:r>
        <w:t>affect the number and needs of children entering services</w:t>
      </w:r>
      <w:r w:rsidR="7E0EA90A">
        <w:t xml:space="preserve">. </w:t>
      </w:r>
      <w:r>
        <w:t xml:space="preserve">According to the literature, the recognition of the benefits of </w:t>
      </w:r>
      <w:r w:rsidRPr="00FC37A2">
        <w:t>integrated service provision has led to an increasing tendency for commissioners to ‘bundle together complex packages of user-facing services</w:t>
      </w:r>
      <w:r w:rsidR="7BC6A721" w:rsidRPr="00FC37A2">
        <w:t>,’</w:t>
      </w:r>
      <w:r w:rsidRPr="00FC37A2">
        <w:t xml:space="preserve"> </w:t>
      </w:r>
      <w:r w:rsidR="00231E17">
        <w:t xml:space="preserve">and </w:t>
      </w:r>
      <w:r w:rsidRPr="00FC37A2">
        <w:t>setting up contracts that enable providers to work across policy areas to address cross</w:t>
      </w:r>
      <w:r w:rsidR="003F6D56">
        <w:t>-</w:t>
      </w:r>
      <w:r w:rsidRPr="00FC37A2">
        <w:t>cutting issues (Robertson and Ewbank 2020, p. 19).</w:t>
      </w:r>
      <w:r w:rsidRPr="6002C6A8">
        <w:rPr>
          <w:rFonts w:asciiTheme="minorHAnsi" w:hAnsiTheme="minorHAnsi" w:cstheme="minorBidi"/>
          <w:color w:val="000000" w:themeColor="text1"/>
          <w:sz w:val="22"/>
          <w:szCs w:val="22"/>
        </w:rPr>
        <w:t xml:space="preserve"> </w:t>
      </w:r>
      <w:r w:rsidRPr="00FC37A2">
        <w:t>For instance, the Greater Manchester Home Partnership, a SIB commissioned in 2018 by the Department for Communities and Local Government</w:t>
      </w:r>
      <w:r w:rsidR="003516AD">
        <w:rPr>
          <w:rStyle w:val="FootnoteReference"/>
        </w:rPr>
        <w:footnoteReference w:id="4"/>
      </w:r>
      <w:r w:rsidRPr="00FC37A2">
        <w:t>, adopt</w:t>
      </w:r>
      <w:r w:rsidR="00231E17">
        <w:t>ed</w:t>
      </w:r>
      <w:r w:rsidRPr="00FC37A2">
        <w:t xml:space="preserve"> a system-wide approach to tackling rough sleeping. In this model, individuals </w:t>
      </w:r>
      <w:r w:rsidR="00231E17">
        <w:t>we</w:t>
      </w:r>
      <w:r w:rsidRPr="00FC37A2">
        <w:t>re supported through a personalised package of support that addresse</w:t>
      </w:r>
      <w:r w:rsidR="00231E17">
        <w:t>d</w:t>
      </w:r>
      <w:r w:rsidRPr="00FC37A2">
        <w:t xml:space="preserve"> needs spanning across health, employment, and education and training (</w:t>
      </w:r>
      <w:r w:rsidR="00DC54F1">
        <w:t>Johal and Ng,</w:t>
      </w:r>
      <w:r w:rsidRPr="00FC37A2">
        <w:t xml:space="preserve"> 2022).</w:t>
      </w:r>
      <w:r>
        <w:t xml:space="preserve"> In sum, there is moderate evidence that commissioners are increasingly considering cross-sector contracting</w:t>
      </w:r>
      <w:r w:rsidR="008E0ABA">
        <w:t>, and contracting approaches that enable this collaboration to work,</w:t>
      </w:r>
      <w:r>
        <w:t xml:space="preserve"> for the provision of complementary services, especially those cutting across health and social care. </w:t>
      </w:r>
    </w:p>
    <w:p w14:paraId="600CCF2B" w14:textId="6AC18EBF" w:rsidR="004F550D" w:rsidRDefault="004F550D" w:rsidP="004F550D">
      <w:pPr>
        <w:pStyle w:val="EcorysBody"/>
        <w:jc w:val="both"/>
      </w:pPr>
      <w:r>
        <w:t>In the context of integrated working, t</w:t>
      </w:r>
      <w:r w:rsidRPr="004F550D">
        <w:t>he Integrated Commissioning for Better Outcomes: a Commissioning Framework (Local Government Association, 2018) emphasises the need for strong and collective leadership between NHS England (NHSE) and Local Authorities (LAs) as well as need for good governance in place. Bach-</w:t>
      </w:r>
      <w:proofErr w:type="spellStart"/>
      <w:r w:rsidRPr="004F550D">
        <w:t>Mortense</w:t>
      </w:r>
      <w:proofErr w:type="spellEnd"/>
      <w:r w:rsidRPr="004F550D">
        <w:t xml:space="preserve"> et al. (202</w:t>
      </w:r>
      <w:r w:rsidR="00DC54F1">
        <w:t>2</w:t>
      </w:r>
      <w:r w:rsidRPr="004F550D">
        <w:t xml:space="preserve">) suggested that having </w:t>
      </w:r>
      <w:r w:rsidRPr="004F550D">
        <w:rPr>
          <w:b/>
          <w:bCs/>
        </w:rPr>
        <w:t>a consistent and transparent commissioning framework</w:t>
      </w:r>
      <w:r w:rsidRPr="004F550D">
        <w:t xml:space="preserve"> improves LAs’ access to high quality services and value for money. The West Midlands Residential Care Framework, the D2N2, and the South London Commissioning Partnership are examples of regional and sub-regional frameworks that are focused on achieving better commissioning outcomes among member LAs though joint procurement and contracting practices (Bach-</w:t>
      </w:r>
      <w:proofErr w:type="spellStart"/>
      <w:r w:rsidRPr="004F550D">
        <w:t>Mortense</w:t>
      </w:r>
      <w:proofErr w:type="spellEnd"/>
      <w:r w:rsidRPr="004F550D">
        <w:t xml:space="preserve"> et al., 202</w:t>
      </w:r>
      <w:r w:rsidR="00DC54F1">
        <w:t>2</w:t>
      </w:r>
      <w:r w:rsidRPr="004F550D">
        <w:t xml:space="preserve">). </w:t>
      </w:r>
    </w:p>
    <w:p w14:paraId="4D66ACA5" w14:textId="50C4669C" w:rsidR="004F550D" w:rsidRDefault="004F550D" w:rsidP="004F550D">
      <w:pPr>
        <w:pStyle w:val="EcorysBody"/>
        <w:jc w:val="both"/>
      </w:pPr>
      <w:r>
        <w:t xml:space="preserve">In addition to the effects of central government policies, </w:t>
      </w:r>
      <w:r w:rsidRPr="00FE20A6">
        <w:rPr>
          <w:b/>
          <w:bCs/>
        </w:rPr>
        <w:t>the literature suggests that commissioner decision-making is shaped by</w:t>
      </w:r>
      <w:r>
        <w:t xml:space="preserve"> </w:t>
      </w:r>
      <w:r w:rsidRPr="00FE20A6">
        <w:rPr>
          <w:b/>
          <w:bCs/>
        </w:rPr>
        <w:t>political dynamics at the local level</w:t>
      </w:r>
      <w:r>
        <w:t>.</w:t>
      </w:r>
      <w:r w:rsidR="0027669F">
        <w:t xml:space="preserve"> </w:t>
      </w:r>
      <w:r w:rsidR="0027669F" w:rsidRPr="0027669F">
        <w:t>In the context of local government, REA evidence suggests the potential for decision-making to be influenced by individuals’ political views.</w:t>
      </w:r>
      <w:r w:rsidR="0027669F">
        <w:t xml:space="preserve"> </w:t>
      </w:r>
      <w:r w:rsidR="0027669F" w:rsidRPr="0027669F">
        <w:t xml:space="preserve">Local councillors set the strategic priorities for the council and, therefore, their engagement is significant for procurement arrangements to be successfully designed and implemented (Local Government Association, 2022). For example, as suggested by </w:t>
      </w:r>
      <w:proofErr w:type="spellStart"/>
      <w:r w:rsidR="0027669F" w:rsidRPr="0027669F">
        <w:t>Checkland</w:t>
      </w:r>
      <w:proofErr w:type="spellEnd"/>
      <w:r w:rsidR="0027669F" w:rsidRPr="0027669F">
        <w:t xml:space="preserve"> et al. (2018), the provision of sexual health services may be complicated if elected officials have socially conservative views on these issues.</w:t>
      </w:r>
      <w:r w:rsidR="0027669F">
        <w:t xml:space="preserve"> </w:t>
      </w:r>
      <w:r w:rsidR="0027669F" w:rsidRPr="0027669F">
        <w:t xml:space="preserve">However, the selected literature and the commissioners consulted as part of </w:t>
      </w:r>
      <w:r w:rsidR="000172D3">
        <w:t>primary research</w:t>
      </w:r>
      <w:r w:rsidR="0027669F" w:rsidRPr="0027669F">
        <w:t xml:space="preserve"> d</w:t>
      </w:r>
      <w:r w:rsidR="00555671">
        <w:t>id</w:t>
      </w:r>
      <w:r w:rsidR="0027669F" w:rsidRPr="0027669F">
        <w:t xml:space="preserve"> not provide specific examples of political agendas inhibiting the contracting of social care and health services. On the other hand, some of the literature suggests that involvement of local elected councillors can support the process of integrating insights from constituents into service delivery (Robertson and Ewbank, 2020).</w:t>
      </w:r>
      <w:r w:rsidR="0027669F">
        <w:t xml:space="preserve"> </w:t>
      </w:r>
      <w:r w:rsidR="0027669F" w:rsidRPr="0027669F">
        <w:t>In sum, due to the significant political dimension present in local government, commissioners are accountable both through the council line management hierarchy and to locally elected officials (</w:t>
      </w:r>
      <w:proofErr w:type="spellStart"/>
      <w:r w:rsidR="0027669F" w:rsidRPr="0027669F">
        <w:t>Checkland</w:t>
      </w:r>
      <w:proofErr w:type="spellEnd"/>
      <w:r w:rsidR="0027669F" w:rsidRPr="0027669F">
        <w:t xml:space="preserve"> et al., 2018).</w:t>
      </w:r>
      <w:r w:rsidR="0027669F">
        <w:t xml:space="preserve"> Nevertheless, there is no consensus emerging from the analysis of REA and </w:t>
      </w:r>
      <w:r w:rsidR="000172D3">
        <w:t>primary research</w:t>
      </w:r>
      <w:r w:rsidR="0027669F">
        <w:t xml:space="preserve"> data on the influence that these accountability structures exercise on </w:t>
      </w:r>
      <w:r w:rsidR="000D7295">
        <w:t>decisions about which contracting approach to use</w:t>
      </w:r>
      <w:r w:rsidR="0027669F">
        <w:t xml:space="preserve">. </w:t>
      </w:r>
    </w:p>
    <w:p w14:paraId="6DBEC423" w14:textId="6223097F" w:rsidR="00325D0C" w:rsidRDefault="00325D0C" w:rsidP="00325D0C">
      <w:pPr>
        <w:pStyle w:val="EcorysSectionLevel02"/>
      </w:pPr>
      <w:bookmarkStart w:id="30" w:name="_Toc167437668"/>
      <w:r>
        <w:lastRenderedPageBreak/>
        <w:t>Economic factors</w:t>
      </w:r>
      <w:bookmarkEnd w:id="30"/>
    </w:p>
    <w:p w14:paraId="67089B54" w14:textId="65C92C0B" w:rsidR="007F6C34" w:rsidRDefault="007F6C34" w:rsidP="00D24476">
      <w:pPr>
        <w:pStyle w:val="EcorysBody"/>
        <w:jc w:val="both"/>
      </w:pPr>
      <w:r w:rsidRPr="007F6C34">
        <w:t>In assessing economic factors, this section considers how economic trends may impact local government and the wider commissioning environment. The discussion specifically considers available government funding and its effects on local government operations and contracting decisions.</w:t>
      </w:r>
    </w:p>
    <w:p w14:paraId="665062C4" w14:textId="362828DA" w:rsidR="00E33B7E" w:rsidRDefault="00D24476" w:rsidP="0065581D">
      <w:pPr>
        <w:pStyle w:val="EcorysBody"/>
        <w:jc w:val="both"/>
      </w:pPr>
      <w:r>
        <w:t xml:space="preserve">The literature and </w:t>
      </w:r>
      <w:r w:rsidR="000172D3">
        <w:t>primary research</w:t>
      </w:r>
      <w:r>
        <w:t xml:space="preserve"> converge in recognising the significant challenges to local authority contracting posed by </w:t>
      </w:r>
      <w:r w:rsidRPr="6002C6A8">
        <w:rPr>
          <w:b/>
          <w:bCs/>
        </w:rPr>
        <w:t>government budget reductions</w:t>
      </w:r>
      <w:r>
        <w:t>. Data from the literature, confirmed by consultations with commissioners, indicates that shrinking budgets and short budget cycles provide limited opportunities for local authorities to maximise impact in health and social care by contracting innovative interventions (Davies et al., 2020; Thomson and Smith, 2019; Jefferson et al., 2017).</w:t>
      </w:r>
      <w:r w:rsidR="00E33B7E">
        <w:t xml:space="preserve"> </w:t>
      </w:r>
      <w:r w:rsidR="0065581D">
        <w:t xml:space="preserve">For instance, </w:t>
      </w:r>
      <w:r w:rsidR="001C6349">
        <w:t xml:space="preserve">in </w:t>
      </w:r>
      <w:r w:rsidR="0065581D">
        <w:t xml:space="preserve">one </w:t>
      </w:r>
      <w:r w:rsidR="000172D3">
        <w:t>LA involved in our research</w:t>
      </w:r>
      <w:r w:rsidR="001C6349">
        <w:t>, a commissioner</w:t>
      </w:r>
      <w:r w:rsidR="0065581D">
        <w:t xml:space="preserve"> noted that outcome-based approaches are challenging to implement under budget restrictions as they commit councils to spending a set amount in the future, with limited options to reduce expenditure if required. In addition</w:t>
      </w:r>
      <w:r w:rsidR="00E33B7E">
        <w:t>, evidence from the REA suggests that</w:t>
      </w:r>
      <w:r w:rsidR="0065581D">
        <w:t xml:space="preserve">, </w:t>
      </w:r>
      <w:r w:rsidR="00B36CC7">
        <w:t xml:space="preserve">despite </w:t>
      </w:r>
      <w:r w:rsidR="0065581D">
        <w:t>national</w:t>
      </w:r>
      <w:r w:rsidR="001B0FE7">
        <w:t>-</w:t>
      </w:r>
      <w:r w:rsidR="0065581D">
        <w:t xml:space="preserve">level </w:t>
      </w:r>
      <w:r w:rsidR="00E33B7E">
        <w:t>support for integrated commissioning, siloed government budgets and short budget cycles pose significant challenges to sustainable inter-agency collaboration</w:t>
      </w:r>
      <w:r w:rsidR="00E33B7E" w:rsidRPr="6002C6A8">
        <w:rPr>
          <w:b/>
          <w:bCs/>
        </w:rPr>
        <w:t xml:space="preserve">. </w:t>
      </w:r>
      <w:r w:rsidR="00E33B7E">
        <w:t xml:space="preserve">In some instances, </w:t>
      </w:r>
      <w:r w:rsidR="0006324A">
        <w:t xml:space="preserve">the literature shows </w:t>
      </w:r>
      <w:r w:rsidR="00E33B7E">
        <w:t xml:space="preserve">these challenges have been overcome through multi-year outcome funds such as the Social Outcomes Fund, </w:t>
      </w:r>
      <w:r w:rsidR="002142C9">
        <w:t>CBO</w:t>
      </w:r>
      <w:r w:rsidR="00E33B7E">
        <w:t>, and Life Chances Fund (</w:t>
      </w:r>
      <w:r w:rsidR="00D4728D">
        <w:t>Johal and Ng</w:t>
      </w:r>
      <w:r w:rsidR="00E33B7E">
        <w:t>, 2022).</w:t>
      </w:r>
      <w:r w:rsidR="00DA6D09">
        <w:t xml:space="preserve"> For instance, the </w:t>
      </w:r>
      <w:r w:rsidR="002142C9">
        <w:t>CBO</w:t>
      </w:r>
      <w:r w:rsidR="00DA6D09">
        <w:t xml:space="preserve"> evaluation found that the availability of outcomes funding and </w:t>
      </w:r>
      <w:r w:rsidR="002142C9">
        <w:t xml:space="preserve">a </w:t>
      </w:r>
      <w:r w:rsidR="00DA6D09">
        <w:t>development grant was a significant contributing factor in commissioners’ decision to pursue a SIB (Ronicle, Stanworth, and Wooldridge, 2022)</w:t>
      </w:r>
      <w:r w:rsidR="657F31E0">
        <w:t xml:space="preserve">. </w:t>
      </w:r>
    </w:p>
    <w:p w14:paraId="6344983E" w14:textId="1F4E7285" w:rsidR="00216D98" w:rsidRPr="00E33B7E" w:rsidRDefault="00216D98" w:rsidP="0065581D">
      <w:pPr>
        <w:pStyle w:val="EcorysBody"/>
        <w:jc w:val="both"/>
      </w:pPr>
      <w:r>
        <w:t xml:space="preserve">The analysis identified mixed evidence on </w:t>
      </w:r>
      <w:r w:rsidR="00A1359F">
        <w:t>the impact of</w:t>
      </w:r>
      <w:r>
        <w:t xml:space="preserve"> budget reductions</w:t>
      </w:r>
      <w:r w:rsidR="00A1359F">
        <w:t xml:space="preserve"> on local commissioners’ </w:t>
      </w:r>
      <w:r w:rsidR="00A16822">
        <w:t>contracting decisions</w:t>
      </w:r>
      <w:r>
        <w:t>. The literature suggests that shrinking budgets have led commissioner decision-making to become increasingly financially</w:t>
      </w:r>
      <w:r w:rsidR="00EB42A3">
        <w:t>-</w:t>
      </w:r>
      <w:r>
        <w:t xml:space="preserve"> and</w:t>
      </w:r>
      <w:r w:rsidR="008F4C1D">
        <w:t xml:space="preserve"> </w:t>
      </w:r>
      <w:r w:rsidR="6884225C">
        <w:t>politically driven</w:t>
      </w:r>
      <w:r>
        <w:t xml:space="preserve">, prioritising cutting costs </w:t>
      </w:r>
      <w:r w:rsidR="6E9C6E0D">
        <w:t>overachieving</w:t>
      </w:r>
      <w:r>
        <w:t xml:space="preserve"> outcomes for service users</w:t>
      </w:r>
      <w:r w:rsidR="001E7767">
        <w:t xml:space="preserve"> (Thomson and Smith, 2019; Davies et al., 2020)</w:t>
      </w:r>
      <w:r>
        <w:t xml:space="preserve">. However, this was not confirmed </w:t>
      </w:r>
      <w:r w:rsidR="008F4C1D">
        <w:t>during</w:t>
      </w:r>
      <w:r>
        <w:t xml:space="preserve"> consultations with commissioners. Although financial constraints were consistently mentioned across consultations, commissioners indicated </w:t>
      </w:r>
      <w:r w:rsidRPr="6002C6A8">
        <w:rPr>
          <w:b/>
          <w:bCs/>
        </w:rPr>
        <w:t>that the priority remains on fulfilling the needs of those entering services</w:t>
      </w:r>
      <w:r>
        <w:t xml:space="preserve">. </w:t>
      </w:r>
    </w:p>
    <w:p w14:paraId="32B6EA68" w14:textId="513EED5B" w:rsidR="00E33B7E" w:rsidRDefault="00216D98" w:rsidP="00E33B7E">
      <w:pPr>
        <w:pStyle w:val="EcorysBody"/>
        <w:jc w:val="both"/>
      </w:pPr>
      <w:r>
        <w:t>E</w:t>
      </w:r>
      <w:r w:rsidR="00E33B7E">
        <w:t xml:space="preserve">vidence from the REA suggests that </w:t>
      </w:r>
      <w:r w:rsidR="00E33B7E" w:rsidRPr="6002C6A8">
        <w:rPr>
          <w:b/>
          <w:bCs/>
        </w:rPr>
        <w:t>the current budget climate has negatively affected the wider commissioning environment by</w:t>
      </w:r>
      <w:r w:rsidR="00E33B7E">
        <w:t xml:space="preserve"> </w:t>
      </w:r>
      <w:r w:rsidR="00E33B7E" w:rsidRPr="6002C6A8">
        <w:rPr>
          <w:b/>
          <w:bCs/>
        </w:rPr>
        <w:t>placing smaller organisations at a disadvantage in tendering processes</w:t>
      </w:r>
      <w:r w:rsidR="00E33B7E">
        <w:t xml:space="preserve"> (Samuel 2021). This occurs because local authority funding uncertainty does not allow providers to make long-term plans, including on issues such as staff recruitment, which often leaves smaller organisations with insufficient capacity to tender for new opportunities. </w:t>
      </w:r>
      <w:r w:rsidR="00F36B3B">
        <w:t>For example, i</w:t>
      </w:r>
      <w:r w:rsidR="00E33B7E">
        <w:t xml:space="preserve">n a qualitative study of home-care providers, Davies et al. (2020) identified a widespread recognition among providers that these commissioning trends were ‘pervasive and unavoidable in the current </w:t>
      </w:r>
      <w:r w:rsidR="2357CE7C">
        <w:t>circumstances</w:t>
      </w:r>
      <w:r w:rsidR="2126A577">
        <w:t xml:space="preserve">. </w:t>
      </w:r>
      <w:r w:rsidR="00E0378E">
        <w:t xml:space="preserve">Our REA </w:t>
      </w:r>
      <w:r w:rsidR="00CD1A88">
        <w:t xml:space="preserve">found that SIBs and FFS contracts </w:t>
      </w:r>
      <w:r w:rsidR="0059187E">
        <w:t xml:space="preserve">enable greater participation of smaller organisations in contracts because their up-front delivery costs are covered (either by payment from the commissioner, or by </w:t>
      </w:r>
      <w:r w:rsidR="00C4789A">
        <w:t>up-front capital from an investor)</w:t>
      </w:r>
      <w:r w:rsidR="00C12AE8">
        <w:t xml:space="preserve"> (ATQ &amp; Ecorys, 2021)</w:t>
      </w:r>
      <w:r w:rsidR="00C00C5B">
        <w:t>, although</w:t>
      </w:r>
      <w:r w:rsidR="00DC59A6">
        <w:t xml:space="preserve"> our interviews with commissioners found that</w:t>
      </w:r>
      <w:r w:rsidR="00C00C5B">
        <w:t xml:space="preserve"> this was not a core factor influencing</w:t>
      </w:r>
      <w:r w:rsidR="00BA707F">
        <w:t xml:space="preserve"> </w:t>
      </w:r>
      <w:r w:rsidR="00DC59A6">
        <w:t>their</w:t>
      </w:r>
      <w:r w:rsidR="00BA707F">
        <w:t xml:space="preserve"> decision to use </w:t>
      </w:r>
      <w:r w:rsidR="008255BE">
        <w:t>these contracting approaches</w:t>
      </w:r>
      <w:r w:rsidR="00C4789A">
        <w:t>.</w:t>
      </w:r>
      <w:r w:rsidR="00C7663E">
        <w:t xml:space="preserve"> </w:t>
      </w:r>
    </w:p>
    <w:p w14:paraId="77032BA2" w14:textId="0EF5B16D" w:rsidR="002F714A" w:rsidRDefault="002F714A" w:rsidP="0028794F">
      <w:pPr>
        <w:pStyle w:val="EcorysBody"/>
        <w:jc w:val="both"/>
      </w:pPr>
      <w:r w:rsidRPr="002F714A">
        <w:t xml:space="preserve">In response to the current fiscal outlook, government strategies and toolkits included in this review suggest that there is a need for councils to </w:t>
      </w:r>
      <w:r w:rsidRPr="002F714A">
        <w:rPr>
          <w:b/>
          <w:bCs/>
        </w:rPr>
        <w:t>consider other means of reducing funding deficits</w:t>
      </w:r>
      <w:r w:rsidRPr="002F714A">
        <w:t xml:space="preserve">. Specifically, the most recent National Procurement Strategy for Local Government encourages organisations to shape the market through strategic engagement of development partners (Local Government Association, 2022). In this context, there is a growing body of literature focusing on contracting approaches that jointly address financial pressures and social impact, for example, through the involvement of third-party social investors </w:t>
      </w:r>
      <w:r w:rsidR="00B36CC7">
        <w:t>in contracting</w:t>
      </w:r>
      <w:r w:rsidRPr="002F714A">
        <w:t xml:space="preserve"> approaches such as SIBs. The reviewed evidence suggests that in theory, SIBs allow local governments to shift the upfront costs of implementation and the associated financial and accountability risks of non-delivery to social investors</w:t>
      </w:r>
      <w:r w:rsidR="00216D98" w:rsidRPr="00216D98">
        <w:t xml:space="preserve"> (</w:t>
      </w:r>
      <w:proofErr w:type="spellStart"/>
      <w:r w:rsidR="00216D98" w:rsidRPr="00216D98">
        <w:t>Carè</w:t>
      </w:r>
      <w:proofErr w:type="spellEnd"/>
      <w:r w:rsidRPr="002F714A">
        <w:t xml:space="preserve"> </w:t>
      </w:r>
      <w:r w:rsidR="00216D98" w:rsidRPr="00216D98">
        <w:t>and De Lisa</w:t>
      </w:r>
      <w:r w:rsidR="00065C55">
        <w:t>,</w:t>
      </w:r>
      <w:r w:rsidR="00216D98" w:rsidRPr="00216D98">
        <w:t xml:space="preserve"> 2019</w:t>
      </w:r>
      <w:r w:rsidR="00216D98">
        <w:t>)</w:t>
      </w:r>
      <w:r w:rsidR="00A12B2A">
        <w:t xml:space="preserve"> (see chapter 3 for more detail on this)</w:t>
      </w:r>
      <w:r w:rsidR="00216D98">
        <w:t>.</w:t>
      </w:r>
    </w:p>
    <w:p w14:paraId="7F70C1E7" w14:textId="5FEE9A3E" w:rsidR="002F714A" w:rsidRDefault="002F714A" w:rsidP="0028794F">
      <w:pPr>
        <w:pStyle w:val="EcorysBody"/>
        <w:jc w:val="both"/>
      </w:pPr>
      <w:r>
        <w:lastRenderedPageBreak/>
        <w:t>In this context,</w:t>
      </w:r>
      <w:r w:rsidRPr="002F714A">
        <w:t xml:space="preserve"> </w:t>
      </w:r>
      <w:r w:rsidR="00216D98">
        <w:t xml:space="preserve">both the REA and the </w:t>
      </w:r>
      <w:r w:rsidR="000172D3">
        <w:t>primary research</w:t>
      </w:r>
      <w:r w:rsidR="00216D98">
        <w:t xml:space="preserve"> </w:t>
      </w:r>
      <w:r w:rsidRPr="002F714A">
        <w:t xml:space="preserve">suggest that </w:t>
      </w:r>
      <w:r w:rsidRPr="002F714A">
        <w:rPr>
          <w:b/>
          <w:bCs/>
        </w:rPr>
        <w:t xml:space="preserve">where overall funding has decreased, </w:t>
      </w:r>
      <w:r w:rsidR="00712C4C">
        <w:rPr>
          <w:b/>
          <w:bCs/>
        </w:rPr>
        <w:t>LAs</w:t>
      </w:r>
      <w:r w:rsidRPr="002F714A">
        <w:rPr>
          <w:b/>
          <w:bCs/>
        </w:rPr>
        <w:t xml:space="preserve"> </w:t>
      </w:r>
      <w:r w:rsidR="00216D98">
        <w:rPr>
          <w:b/>
          <w:bCs/>
        </w:rPr>
        <w:t xml:space="preserve">have tried </w:t>
      </w:r>
      <w:r w:rsidRPr="002F714A">
        <w:rPr>
          <w:b/>
          <w:bCs/>
        </w:rPr>
        <w:t xml:space="preserve">to secure external and upfront sources of funding </w:t>
      </w:r>
      <w:r w:rsidRPr="002F714A">
        <w:t>(Ham</w:t>
      </w:r>
      <w:r w:rsidR="00D4728D">
        <w:t>e</w:t>
      </w:r>
      <w:r w:rsidRPr="002F714A">
        <w:t xml:space="preserve">ed et al., 2021). </w:t>
      </w:r>
      <w:r w:rsidR="00D3197F">
        <w:t>T</w:t>
      </w:r>
      <w:r w:rsidRPr="002F714A">
        <w:t>he evidence suggests that a key motivation for commissioners in opting for an outcomes-based contracting approach when procuring a preventative service</w:t>
      </w:r>
      <w:r w:rsidR="00065C55">
        <w:t xml:space="preserve"> </w:t>
      </w:r>
      <w:r w:rsidRPr="002F714A">
        <w:t xml:space="preserve">is the ability to launch the service (using external upfront financing for services from delivery providers or investors) and then pay for the outcomes later through later avoided costs or cashable savings (Ronicle, Stanworth and Wooldridge, 2022).  </w:t>
      </w:r>
      <w:r w:rsidR="00216D98">
        <w:t xml:space="preserve">Similarly, </w:t>
      </w:r>
      <w:r w:rsidR="000172D3">
        <w:t>the primary research</w:t>
      </w:r>
      <w:r w:rsidRPr="00216D98">
        <w:t xml:space="preserve"> </w:t>
      </w:r>
      <w:r w:rsidR="004952EE">
        <w:t xml:space="preserve">confirmed </w:t>
      </w:r>
      <w:r w:rsidRPr="00216D98">
        <w:t xml:space="preserve">that the availability of </w:t>
      </w:r>
      <w:r w:rsidR="00D3197F">
        <w:t>external</w:t>
      </w:r>
      <w:r w:rsidRPr="00216D98">
        <w:t xml:space="preserve"> funding</w:t>
      </w:r>
      <w:r w:rsidR="000A7C39">
        <w:t xml:space="preserve"> to cover initial delivery</w:t>
      </w:r>
      <w:r w:rsidR="00D3197F">
        <w:t>, complemented by the willingness to innovate,</w:t>
      </w:r>
      <w:r w:rsidRPr="00216D98">
        <w:t xml:space="preserve"> contributed to decisions to contract SIBs</w:t>
      </w:r>
      <w:r w:rsidR="003867DA">
        <w:t>.</w:t>
      </w:r>
    </w:p>
    <w:p w14:paraId="408B8F81" w14:textId="26F43A63" w:rsidR="00797738" w:rsidRDefault="00216D98" w:rsidP="0028794F">
      <w:pPr>
        <w:pStyle w:val="EcorysBody"/>
        <w:jc w:val="both"/>
      </w:pPr>
      <w:r>
        <w:t xml:space="preserve">In sum, the evidence </w:t>
      </w:r>
      <w:r w:rsidR="00D3197F">
        <w:t>on the influence</w:t>
      </w:r>
      <w:r>
        <w:t xml:space="preserve"> </w:t>
      </w:r>
      <w:r w:rsidR="00D3197F">
        <w:t xml:space="preserve">of </w:t>
      </w:r>
      <w:r>
        <w:t xml:space="preserve">economic factors </w:t>
      </w:r>
      <w:r w:rsidR="00D3197F">
        <w:t xml:space="preserve">on commissioning finds </w:t>
      </w:r>
      <w:bookmarkStart w:id="31" w:name="_Int_UsPVINgv"/>
      <w:r w:rsidR="00D3197F">
        <w:t>strong evidence</w:t>
      </w:r>
      <w:bookmarkEnd w:id="31"/>
      <w:r w:rsidR="00D3197F">
        <w:t xml:space="preserve"> that government budget reductions have closely affected ways of working at the local level. </w:t>
      </w:r>
      <w:r w:rsidR="00D8021B">
        <w:t xml:space="preserve">There </w:t>
      </w:r>
      <w:r w:rsidR="00D3197F">
        <w:t xml:space="preserve">is evidence that </w:t>
      </w:r>
      <w:r w:rsidR="00797738">
        <w:t>current</w:t>
      </w:r>
      <w:r w:rsidR="00D8021B">
        <w:t xml:space="preserve"> (i.e. at the time of the research) </w:t>
      </w:r>
      <w:r w:rsidR="00D3197F">
        <w:t xml:space="preserve">funding restrictions have limited the potential for local authorities to adopt innovative contracting models </w:t>
      </w:r>
      <w:bookmarkStart w:id="32" w:name="_Int_Q3Pa2f7L"/>
      <w:r w:rsidR="00D3197F">
        <w:t>as a result of</w:t>
      </w:r>
      <w:bookmarkEnd w:id="32"/>
      <w:r w:rsidR="00D3197F">
        <w:t xml:space="preserve"> siloed government budgets and short budget cycles. </w:t>
      </w:r>
      <w:r w:rsidR="0028794F">
        <w:t xml:space="preserve">However, </w:t>
      </w:r>
      <w:r w:rsidR="00797738">
        <w:t xml:space="preserve">at the time when </w:t>
      </w:r>
      <w:r w:rsidR="00AD283B">
        <w:t>projects</w:t>
      </w:r>
      <w:r w:rsidR="00797738">
        <w:t xml:space="preserve"> were contracted, commissioners</w:t>
      </w:r>
      <w:r w:rsidR="000172D3">
        <w:t xml:space="preserve"> interviewed</w:t>
      </w:r>
      <w:r w:rsidR="00797738">
        <w:t xml:space="preserve"> suggested that the economic environment encouraged them to explore more innovative forms of financing, through alternative commissioning approaches such as outcome-based contracting. </w:t>
      </w:r>
    </w:p>
    <w:p w14:paraId="6FC1CBA1" w14:textId="77777777" w:rsidR="0065581D" w:rsidRPr="00E33B7E" w:rsidRDefault="0065581D" w:rsidP="00E33B7E">
      <w:pPr>
        <w:pStyle w:val="EcorysBody"/>
        <w:jc w:val="both"/>
      </w:pPr>
    </w:p>
    <w:p w14:paraId="362DF3A9" w14:textId="53EC0BEA" w:rsidR="00325D0C" w:rsidRDefault="00325D0C" w:rsidP="00325D0C">
      <w:pPr>
        <w:pStyle w:val="EcorysSectionLevel02"/>
      </w:pPr>
      <w:bookmarkStart w:id="33" w:name="_Toc167437669"/>
      <w:r>
        <w:t>Sociological factors</w:t>
      </w:r>
      <w:bookmarkEnd w:id="33"/>
    </w:p>
    <w:p w14:paraId="0C4EACA4" w14:textId="147DCCE9" w:rsidR="006E6856" w:rsidRDefault="006E6856" w:rsidP="006E6856">
      <w:pPr>
        <w:pStyle w:val="EcorysBody"/>
        <w:jc w:val="both"/>
      </w:pPr>
      <w:r>
        <w:t>In the following section, we</w:t>
      </w:r>
      <w:r w:rsidRPr="006A1110">
        <w:t xml:space="preserve"> </w:t>
      </w:r>
      <w:r>
        <w:t xml:space="preserve">assess </w:t>
      </w:r>
      <w:r w:rsidRPr="006A1110">
        <w:t>how sociological factors, such as demographics</w:t>
      </w:r>
      <w:r>
        <w:t xml:space="preserve"> and </w:t>
      </w:r>
      <w:r w:rsidRPr="006A1110">
        <w:t>local needs</w:t>
      </w:r>
      <w:r>
        <w:t xml:space="preserve">, impact </w:t>
      </w:r>
      <w:r w:rsidRPr="006A1110">
        <w:t>local government commissioner decision-making.</w:t>
      </w:r>
      <w:r>
        <w:t xml:space="preserve"> We also consider individual attitudes of the commissioners and local government decision-makers.</w:t>
      </w:r>
    </w:p>
    <w:p w14:paraId="4141CF91" w14:textId="075FB024" w:rsidR="006E6856" w:rsidRDefault="006E6856" w:rsidP="006E6856">
      <w:pPr>
        <w:pStyle w:val="EcorysBody"/>
        <w:jc w:val="both"/>
      </w:pPr>
      <w:r>
        <w:t xml:space="preserve">The combined evidence from the literature review and the </w:t>
      </w:r>
      <w:r w:rsidR="000172D3">
        <w:t>primary research</w:t>
      </w:r>
      <w:r>
        <w:t xml:space="preserve"> suggests that the </w:t>
      </w:r>
      <w:r w:rsidRPr="6002C6A8">
        <w:rPr>
          <w:b/>
          <w:bCs/>
        </w:rPr>
        <w:t>changing needs of service users</w:t>
      </w:r>
      <w:r>
        <w:t xml:space="preserve"> is a key factor influencing commissioner decision-making. Robertson and Ewbank (2020) highlighted that in recent years, public service leaders have seen an increase in service users’ needs as well as an increase in the complexity of those needs. This </w:t>
      </w:r>
      <w:bookmarkStart w:id="34" w:name="_Int_sZWkLzzx"/>
      <w:r>
        <w:t>seems to be</w:t>
      </w:r>
      <w:bookmarkEnd w:id="34"/>
      <w:r>
        <w:t xml:space="preserve"> particularly evident </w:t>
      </w:r>
      <w:bookmarkStart w:id="35" w:name="_Int_cKRPaYdm"/>
      <w:r>
        <w:t>in the area of</w:t>
      </w:r>
      <w:bookmarkEnd w:id="35"/>
      <w:r>
        <w:t xml:space="preserve"> adult social care, as the changing needs of the population and their complexity impacts the way health and social care systems work, leading to an increased desire for integrated working (Local Government Association, 202</w:t>
      </w:r>
      <w:r w:rsidR="00D4728D">
        <w:t>2</w:t>
      </w:r>
      <w:r>
        <w:t xml:space="preserve">a). The commissioners taking part in our </w:t>
      </w:r>
      <w:r w:rsidR="000172D3">
        <w:t>research</w:t>
      </w:r>
      <w:r>
        <w:t xml:space="preserve"> further confirmed that</w:t>
      </w:r>
      <w:r w:rsidR="00681DBE">
        <w:t xml:space="preserve"> when</w:t>
      </w:r>
      <w:r w:rsidR="007F6666">
        <w:t xml:space="preserve"> </w:t>
      </w:r>
      <w:r w:rsidR="00681DBE">
        <w:t xml:space="preserve">choosing </w:t>
      </w:r>
      <w:r w:rsidR="005627E2">
        <w:t xml:space="preserve">their contracting approach, </w:t>
      </w:r>
      <w:r w:rsidR="00264EC3">
        <w:t xml:space="preserve">one of the crucial considerations </w:t>
      </w:r>
      <w:r w:rsidR="00FD0E37">
        <w:t>was</w:t>
      </w:r>
      <w:r w:rsidR="007F6666">
        <w:t xml:space="preserve"> </w:t>
      </w:r>
      <w:r w:rsidR="00D4758A">
        <w:t xml:space="preserve">flexibility </w:t>
      </w:r>
      <w:r w:rsidR="004E560A">
        <w:t>of</w:t>
      </w:r>
      <w:r w:rsidR="00C64255">
        <w:t xml:space="preserve"> the service delivery</w:t>
      </w:r>
      <w:r w:rsidR="004E560A">
        <w:t xml:space="preserve"> to address changing </w:t>
      </w:r>
      <w:r w:rsidR="008D383A">
        <w:t xml:space="preserve">and increasingly more </w:t>
      </w:r>
      <w:r w:rsidR="004E560A">
        <w:t>complex needs of services users</w:t>
      </w:r>
      <w:r w:rsidR="008D383A">
        <w:t xml:space="preserve">. This </w:t>
      </w:r>
      <w:r w:rsidR="000444AB">
        <w:t>can lead</w:t>
      </w:r>
      <w:r w:rsidR="008D383A">
        <w:t xml:space="preserve"> to integrated provision and outcome-based </w:t>
      </w:r>
      <w:bookmarkStart w:id="36" w:name="_Int_EC731YFn"/>
      <w:r w:rsidR="008D383A">
        <w:t>commissioning</w:t>
      </w:r>
      <w:r w:rsidR="00C22B0D">
        <w:t xml:space="preserve"> </w:t>
      </w:r>
      <w:r w:rsidR="00890EB8">
        <w:t xml:space="preserve"> </w:t>
      </w:r>
      <w:r w:rsidR="00C22B0D">
        <w:t>as</w:t>
      </w:r>
      <w:bookmarkEnd w:id="36"/>
      <w:r w:rsidR="00C22B0D">
        <w:t xml:space="preserve"> </w:t>
      </w:r>
      <w:r w:rsidR="00884C77">
        <w:t>outcome-based model</w:t>
      </w:r>
      <w:r w:rsidR="00890EB8">
        <w:t>s</w:t>
      </w:r>
      <w:r w:rsidR="00884C77">
        <w:t xml:space="preserve"> allow the providers to </w:t>
      </w:r>
      <w:r w:rsidR="00256D7C">
        <w:t xml:space="preserve">more easily </w:t>
      </w:r>
      <w:r w:rsidR="00884C77">
        <w:t>adapt their delivery approach</w:t>
      </w:r>
      <w:r w:rsidR="00890EB8">
        <w:t xml:space="preserve"> to</w:t>
      </w:r>
      <w:r w:rsidR="00884C77">
        <w:t xml:space="preserve"> respond to the changing needs of the service users</w:t>
      </w:r>
      <w:r w:rsidR="00256D7C">
        <w:t xml:space="preserve"> than </w:t>
      </w:r>
      <w:r w:rsidR="00336115">
        <w:t xml:space="preserve">in </w:t>
      </w:r>
      <w:r w:rsidR="00256D7C">
        <w:t>input-based models</w:t>
      </w:r>
      <w:r w:rsidR="62212850">
        <w:t xml:space="preserve">. </w:t>
      </w:r>
    </w:p>
    <w:p w14:paraId="4B0CD5D8" w14:textId="35DE9337" w:rsidR="00377AC8" w:rsidRDefault="006E6856" w:rsidP="006E6856">
      <w:pPr>
        <w:pStyle w:val="EcorysBody"/>
        <w:jc w:val="both"/>
      </w:pPr>
      <w:r>
        <w:t xml:space="preserve">According to other literature, service users’ needs might vary based on other factors, such as </w:t>
      </w:r>
      <w:r w:rsidRPr="6002C6A8">
        <w:rPr>
          <w:b/>
          <w:bCs/>
        </w:rPr>
        <w:t>locality/rurality, levels of deprivation, and average age and health of the population</w:t>
      </w:r>
      <w:r>
        <w:t xml:space="preserve">. Research suggests that these factors affect intervention design and pricing of the services, subsequently impacting on </w:t>
      </w:r>
      <w:r w:rsidR="00377AC8">
        <w:t xml:space="preserve">the </w:t>
      </w:r>
      <w:r>
        <w:t>commissioning approach (Jefferson et al., 20</w:t>
      </w:r>
      <w:r w:rsidR="00D4728D">
        <w:t>17</w:t>
      </w:r>
      <w:r>
        <w:t>; Hamblin, 2020). For example, Jefferson et al. (20</w:t>
      </w:r>
      <w:r w:rsidR="00D4728D">
        <w:t>17</w:t>
      </w:r>
      <w:r>
        <w:t xml:space="preserve">) explains that in rural areas with ageing populations, LAs </w:t>
      </w:r>
      <w:bookmarkStart w:id="37" w:name="_Int_fBfzsr7y"/>
      <w:r>
        <w:t>have to</w:t>
      </w:r>
      <w:bookmarkEnd w:id="37"/>
      <w:r>
        <w:t xml:space="preserve"> pay for greater travel costs associated with care. Changes in populations’ needs can also push LAs to reflect on their commissioning approaches. For example, in Tameside, high local mortality rates combined with financial cuts led to the borough</w:t>
      </w:r>
      <w:r w:rsidRPr="6002C6A8">
        <w:rPr>
          <w:i/>
          <w:iCs/>
        </w:rPr>
        <w:t xml:space="preserve"> “reforming the commissioning functions in the borough to create a single place-based commissioner for health, social care and other public services”</w:t>
      </w:r>
      <w:r>
        <w:t xml:space="preserve"> (Robertson and Ewbank, 2020, p.37-38)</w:t>
      </w:r>
      <w:r w:rsidR="789DA8DB">
        <w:t xml:space="preserve">. </w:t>
      </w:r>
    </w:p>
    <w:p w14:paraId="14C4CC2A" w14:textId="2ADA3CDE" w:rsidR="006E6856" w:rsidRDefault="006E6856" w:rsidP="006E6856">
      <w:pPr>
        <w:pStyle w:val="EcorysBody"/>
        <w:jc w:val="both"/>
      </w:pPr>
      <w:r w:rsidRPr="007A036B">
        <w:t xml:space="preserve">The literature </w:t>
      </w:r>
      <w:r>
        <w:t xml:space="preserve">also </w:t>
      </w:r>
      <w:r w:rsidRPr="007A036B">
        <w:t>indicat</w:t>
      </w:r>
      <w:r>
        <w:t>es</w:t>
      </w:r>
      <w:r w:rsidRPr="007A036B">
        <w:t xml:space="preserve"> that rural regions often lack a supply of providers and the required volume of workers, resulting in LAs needing to provide higher rates of pay to facilitate staff retention (Jefferson et al, 20</w:t>
      </w:r>
      <w:r w:rsidR="00D4728D">
        <w:t>17</w:t>
      </w:r>
      <w:r w:rsidRPr="007A036B">
        <w:t>)</w:t>
      </w:r>
      <w:r>
        <w:t xml:space="preserve">. This was further validated during a </w:t>
      </w:r>
      <w:r w:rsidR="000172D3">
        <w:t>primary research</w:t>
      </w:r>
      <w:r>
        <w:t xml:space="preserve"> workshop, when </w:t>
      </w:r>
      <w:r w:rsidR="0083751E">
        <w:t xml:space="preserve">some </w:t>
      </w:r>
      <w:r>
        <w:t xml:space="preserve">commissioners highlighted that rurality and size of their </w:t>
      </w:r>
      <w:r w:rsidR="00516660">
        <w:t xml:space="preserve">LA </w:t>
      </w:r>
      <w:r>
        <w:t xml:space="preserve">is often a barrier when commissioning for public services. There is often a lack of local providers, meaning the commissioners need to attract national providers or providers who </w:t>
      </w:r>
      <w:r w:rsidR="0081143F">
        <w:t xml:space="preserve">are willing to expand into their </w:t>
      </w:r>
      <w:r w:rsidR="0081143F">
        <w:lastRenderedPageBreak/>
        <w:t>area</w:t>
      </w:r>
      <w:r>
        <w:t>. However, due to the borough size and subsequently limited demand, the commissioners struggled to successfully attract those providers in the past. This led them to explore alternative procurement approaches for their homelessness and adult social care services and work collaboratively with surrounding councils. Alliance contracting was seen a suitable approach which might attract a</w:t>
      </w:r>
      <w:r w:rsidR="003D58BC">
        <w:t xml:space="preserve">n alliance of providers that could work </w:t>
      </w:r>
      <w:r w:rsidR="004F7E76">
        <w:t>together to meet the complex needs of the population.</w:t>
      </w:r>
      <w:r>
        <w:t xml:space="preserve"> </w:t>
      </w:r>
      <w:r w:rsidRPr="00E33417">
        <w:t>Furthermore,</w:t>
      </w:r>
      <w:r>
        <w:t xml:space="preserve"> the REA also found evidence that</w:t>
      </w:r>
      <w:r w:rsidRPr="00E33417">
        <w:t xml:space="preserve"> LAs may seek to adopt innovative approaches</w:t>
      </w:r>
      <w:r w:rsidR="0051281E">
        <w:t>, such as outcome-based models,</w:t>
      </w:r>
      <w:r w:rsidRPr="00E33417">
        <w:t xml:space="preserve"> to develop local solutions, like the Troubled Families Programme, where LAs were given considerable autonomy to be creative in their methods of delivering the programme (Day et al., 2016).</w:t>
      </w:r>
    </w:p>
    <w:p w14:paraId="5CD91C9B" w14:textId="099E8BA0" w:rsidR="006E6856" w:rsidRDefault="006E6856" w:rsidP="006E6856">
      <w:pPr>
        <w:pStyle w:val="EcorysBody"/>
        <w:jc w:val="both"/>
      </w:pPr>
      <w:r>
        <w:t xml:space="preserve">Other literature (Mason, </w:t>
      </w:r>
      <w:r w:rsidR="34841A7A">
        <w:t>Lloyd,</w:t>
      </w:r>
      <w:r>
        <w:t xml:space="preserve"> and Nash, 20</w:t>
      </w:r>
      <w:r w:rsidR="00D4728D">
        <w:t>17</w:t>
      </w:r>
      <w:r>
        <w:t xml:space="preserve">; </w:t>
      </w:r>
      <w:proofErr w:type="spellStart"/>
      <w:r>
        <w:t>Localis</w:t>
      </w:r>
      <w:proofErr w:type="spellEnd"/>
      <w:r>
        <w:t>, 20</w:t>
      </w:r>
      <w:r w:rsidR="004D7AC7">
        <w:t>16</w:t>
      </w:r>
      <w:r>
        <w:t xml:space="preserve">) shows that </w:t>
      </w:r>
      <w:r w:rsidRPr="6002C6A8">
        <w:rPr>
          <w:b/>
          <w:bCs/>
        </w:rPr>
        <w:t>an understanding of wider local needs and the needs of the target group is crucial for outcome-focused commissioning</w:t>
      </w:r>
      <w:r>
        <w:t xml:space="preserve">, as it allows commissioners to appropriately tailor the approach and maximise the benefits for the wider community. The commissioners taking part in our </w:t>
      </w:r>
      <w:r w:rsidR="000172D3">
        <w:t>research</w:t>
      </w:r>
      <w:r>
        <w:t xml:space="preserve"> shared that they are experiencing increased complexity of service users</w:t>
      </w:r>
      <w:r w:rsidR="00E46F80">
        <w:t>’</w:t>
      </w:r>
      <w:r>
        <w:t xml:space="preserve"> needs, especially within communities from more deprived areas. Some of them highlighted that </w:t>
      </w:r>
      <w:r w:rsidR="00D8021B">
        <w:t>understanding</w:t>
      </w:r>
      <w:r>
        <w:t xml:space="preserve"> the complexity of the target groups’ needs is crucial in selecting the right approach to delivery and </w:t>
      </w:r>
      <w:r w:rsidR="00894152">
        <w:t xml:space="preserve">the </w:t>
      </w:r>
      <w:r>
        <w:t xml:space="preserve">commissioning of services. </w:t>
      </w:r>
      <w:r w:rsidR="00184DDC">
        <w:t>C</w:t>
      </w:r>
      <w:r>
        <w:t>ommissioners</w:t>
      </w:r>
      <w:r w:rsidR="00D8021B">
        <w:t xml:space="preserve"> in one </w:t>
      </w:r>
      <w:r w:rsidR="000172D3">
        <w:t>LA</w:t>
      </w:r>
      <w:r>
        <w:t xml:space="preserve"> explained</w:t>
      </w:r>
      <w:r w:rsidR="00E0010A">
        <w:t xml:space="preserve"> </w:t>
      </w:r>
      <w:r>
        <w:t xml:space="preserve">that their integrated approach to homelessness services was </w:t>
      </w:r>
      <w:bookmarkStart w:id="38" w:name="_Int_VCbrth17"/>
      <w:r>
        <w:t>largely informed</w:t>
      </w:r>
      <w:bookmarkEnd w:id="38"/>
      <w:r>
        <w:t xml:space="preserve"> by the complex needs of the cohort, often struggling with substance abuse</w:t>
      </w:r>
      <w:r w:rsidR="009D41C1">
        <w:t xml:space="preserve"> and w</w:t>
      </w:r>
      <w:r w:rsidR="00DE4C29">
        <w:t>ith experience of domestic violence</w:t>
      </w:r>
      <w:r>
        <w:t xml:space="preserve">. </w:t>
      </w:r>
      <w:r w:rsidR="000172D3">
        <w:t>In another LA</w:t>
      </w:r>
      <w:r>
        <w:t xml:space="preserve">, commissioners considered a SIB model to procure a prevention service, which allowed them to develop specifically targeted outcomes for the most deprived areas, consequently maximising the intervention’s impact. Additionally, </w:t>
      </w:r>
      <w:proofErr w:type="spellStart"/>
      <w:r>
        <w:t>Localis</w:t>
      </w:r>
      <w:proofErr w:type="spellEnd"/>
      <w:r>
        <w:t>’ report (20</w:t>
      </w:r>
      <w:r w:rsidR="004D7AC7">
        <w:t>16</w:t>
      </w:r>
      <w:r>
        <w:t>) presented an example of Plymouth City Council, where the needs of local communities were in</w:t>
      </w:r>
      <w:r w:rsidR="00D851DA">
        <w:t xml:space="preserve"> the</w:t>
      </w:r>
      <w:r>
        <w:t xml:space="preserve"> forefront of commissioner</w:t>
      </w:r>
      <w:r w:rsidR="00435BDB">
        <w:t>s’</w:t>
      </w:r>
      <w:r>
        <w:t xml:space="preserve"> decision-making. Local challenges in Plymouth with youth unemployment encouraged the council to take a cooperative approach to its commissioning strategy. This approach prioritised democratic engagement and empowerment to build close relationships between the citizens and council to identify local needs. As a result, the council set up the 1000 Club that works with local businesses to support young people’s journey to employment. </w:t>
      </w:r>
    </w:p>
    <w:p w14:paraId="102B4CBD" w14:textId="2FD9B38C" w:rsidR="006E6856" w:rsidRDefault="6C13F83C" w:rsidP="006E6856">
      <w:pPr>
        <w:pStyle w:val="EcorysBody"/>
      </w:pPr>
      <w:r>
        <w:t xml:space="preserve">Both evidence from the reviewed literature and the </w:t>
      </w:r>
      <w:r w:rsidR="000172D3">
        <w:t>primary research</w:t>
      </w:r>
      <w:r>
        <w:t xml:space="preserve"> </w:t>
      </w:r>
      <w:r w:rsidR="7D4DB572">
        <w:t>considered</w:t>
      </w:r>
      <w:r w:rsidRPr="002D2EB0">
        <w:t xml:space="preserve"> </w:t>
      </w:r>
      <w:r w:rsidRPr="0019334C">
        <w:rPr>
          <w:b/>
          <w:bCs/>
        </w:rPr>
        <w:t>individual decision-makers’ attitudes</w:t>
      </w:r>
      <w:r>
        <w:rPr>
          <w:b/>
          <w:bCs/>
        </w:rPr>
        <w:t xml:space="preserve"> and their </w:t>
      </w:r>
      <w:r w:rsidRPr="0019334C">
        <w:rPr>
          <w:b/>
          <w:bCs/>
        </w:rPr>
        <w:t xml:space="preserve">impact </w:t>
      </w:r>
      <w:r>
        <w:rPr>
          <w:b/>
          <w:bCs/>
        </w:rPr>
        <w:t xml:space="preserve">on </w:t>
      </w:r>
      <w:r w:rsidRPr="0019334C">
        <w:rPr>
          <w:b/>
          <w:bCs/>
        </w:rPr>
        <w:t>the</w:t>
      </w:r>
      <w:r w:rsidR="11219F11">
        <w:rPr>
          <w:b/>
          <w:bCs/>
        </w:rPr>
        <w:t xml:space="preserve"> choice of</w:t>
      </w:r>
      <w:r w:rsidRPr="0019334C">
        <w:rPr>
          <w:b/>
          <w:bCs/>
        </w:rPr>
        <w:t xml:space="preserve"> </w:t>
      </w:r>
      <w:r w:rsidR="11219F11">
        <w:rPr>
          <w:b/>
          <w:bCs/>
        </w:rPr>
        <w:t>contracting approaches</w:t>
      </w:r>
      <w:r w:rsidR="24E7BBB6">
        <w:rPr>
          <w:b/>
          <w:bCs/>
        </w:rPr>
        <w:t xml:space="preserve">. </w:t>
      </w:r>
      <w:r w:rsidRPr="00715390">
        <w:t xml:space="preserve">The literature suggests </w:t>
      </w:r>
      <w:r>
        <w:t xml:space="preserve">that </w:t>
      </w:r>
      <w:r w:rsidRPr="00715390">
        <w:t>the</w:t>
      </w:r>
      <w:r>
        <w:rPr>
          <w:b/>
          <w:bCs/>
        </w:rPr>
        <w:t xml:space="preserve"> </w:t>
      </w:r>
      <w:r w:rsidRPr="002D2EB0">
        <w:t>openness</w:t>
      </w:r>
      <w:r>
        <w:t xml:space="preserve"> of commissioners and other key stakeholder </w:t>
      </w:r>
      <w:r w:rsidRPr="002D2EB0">
        <w:t xml:space="preserve">to collaboration with the local population </w:t>
      </w:r>
      <w:r>
        <w:t>is</w:t>
      </w:r>
      <w:r w:rsidRPr="002D2EB0">
        <w:t xml:space="preserve"> a crucial factor in integrated and outcome-focused approaches to commissioning (Walker et al., 202</w:t>
      </w:r>
      <w:r w:rsidR="32A06DA2">
        <w:t>2</w:t>
      </w:r>
      <w:r w:rsidRPr="002D2EB0">
        <w:t>).</w:t>
      </w:r>
      <w:r>
        <w:t xml:space="preserve"> </w:t>
      </w:r>
      <w:r w:rsidR="063A6218">
        <w:t>For example, T</w:t>
      </w:r>
      <w:r w:rsidRPr="002D2EB0">
        <w:t>he Strategic Collaborative Planning and Commissioning guide published by the Local Government Association (202</w:t>
      </w:r>
      <w:r w:rsidR="32A06DA2">
        <w:t>2</w:t>
      </w:r>
      <w:r w:rsidRPr="002D2EB0">
        <w:t>b)</w:t>
      </w:r>
      <w:r>
        <w:t xml:space="preserve"> highlights </w:t>
      </w:r>
      <w:r w:rsidRPr="002D2EB0">
        <w:t xml:space="preserve">the role of collaboration between commissioning bodies and a sense of collective responsibility </w:t>
      </w:r>
      <w:bookmarkStart w:id="39" w:name="_Int_9bLtwxGd"/>
      <w:r w:rsidRPr="002D2EB0">
        <w:t>in order to</w:t>
      </w:r>
      <w:bookmarkEnd w:id="39"/>
      <w:r w:rsidRPr="002D2EB0">
        <w:t xml:space="preserve"> improve outcomes for people, </w:t>
      </w:r>
      <w:r w:rsidR="70A79172" w:rsidRPr="002D2EB0">
        <w:t>place,</w:t>
      </w:r>
      <w:r w:rsidRPr="002D2EB0">
        <w:t xml:space="preserve"> and population.</w:t>
      </w:r>
      <w:r>
        <w:t xml:space="preserve"> Furthermore, participants across different </w:t>
      </w:r>
      <w:r w:rsidR="000172D3">
        <w:t>LAs</w:t>
      </w:r>
      <w:r>
        <w:t xml:space="preserve"> reported that attitudes of staff and management in commission</w:t>
      </w:r>
      <w:r w:rsidR="3B7ADC30">
        <w:t>ing</w:t>
      </w:r>
      <w:r>
        <w:t xml:space="preserve"> bodies towards concepts like collaboration, innovation, or testing </w:t>
      </w:r>
      <w:bookmarkStart w:id="40" w:name="_Int_FZ52rVXc"/>
      <w:r>
        <w:t>new approaches</w:t>
      </w:r>
      <w:bookmarkEnd w:id="40"/>
      <w:r>
        <w:t xml:space="preserve"> are integral to their decisions about use of different </w:t>
      </w:r>
      <w:r w:rsidR="41879162">
        <w:t xml:space="preserve">contracting </w:t>
      </w:r>
      <w:r>
        <w:t>approache</w:t>
      </w:r>
      <w:r w:rsidR="41879162">
        <w:t>s</w:t>
      </w:r>
      <w:r>
        <w:t xml:space="preserve">. For example, in </w:t>
      </w:r>
      <w:r w:rsidR="4E322546">
        <w:t xml:space="preserve">one </w:t>
      </w:r>
      <w:r w:rsidR="000172D3">
        <w:t>area</w:t>
      </w:r>
      <w:r>
        <w:t>, the commissioning team was motiv</w:t>
      </w:r>
      <w:r w:rsidR="41879162">
        <w:t>at</w:t>
      </w:r>
      <w:r>
        <w:t xml:space="preserve">ed and open to </w:t>
      </w:r>
      <w:bookmarkStart w:id="41" w:name="_Int_bVaHDqbo"/>
      <w:r>
        <w:t>new approaches</w:t>
      </w:r>
      <w:bookmarkEnd w:id="41"/>
      <w:r w:rsidR="4A5AF093">
        <w:t xml:space="preserve"> (</w:t>
      </w:r>
      <w:r w:rsidR="2209E447">
        <w:t>i.e.</w:t>
      </w:r>
      <w:r w:rsidR="151C3697">
        <w:t xml:space="preserve"> outcome-based models </w:t>
      </w:r>
      <w:r w:rsidR="0B674103">
        <w:t xml:space="preserve">such as </w:t>
      </w:r>
      <w:r w:rsidR="151C3697">
        <w:t>SIB</w:t>
      </w:r>
      <w:r w:rsidR="4E2C9E79">
        <w:t>s</w:t>
      </w:r>
      <w:r w:rsidR="0B674103">
        <w:t>)</w:t>
      </w:r>
      <w:r>
        <w:t>, as they attended t</w:t>
      </w:r>
      <w:r w:rsidRPr="003306EB">
        <w:t xml:space="preserve">he </w:t>
      </w:r>
      <w:r w:rsidRPr="003A08FF">
        <w:t>Commissioning Academy</w:t>
      </w:r>
      <w:r w:rsidR="003A08FF">
        <w:rPr>
          <w:rStyle w:val="FootnoteReference"/>
        </w:rPr>
        <w:footnoteReference w:id="5"/>
      </w:r>
      <w:r>
        <w:t xml:space="preserve"> around the same time. </w:t>
      </w:r>
    </w:p>
    <w:p w14:paraId="682BADBF" w14:textId="57FC97E5" w:rsidR="006E6856" w:rsidRPr="00DD3CBB" w:rsidRDefault="006E6856" w:rsidP="6002C6A8">
      <w:pPr>
        <w:pStyle w:val="EcorysBody"/>
        <w:rPr>
          <w:i/>
          <w:iCs/>
          <w:color w:val="283583" w:themeColor="text2"/>
        </w:rPr>
      </w:pPr>
      <w:r w:rsidRPr="6002C6A8">
        <w:rPr>
          <w:i/>
          <w:iCs/>
          <w:color w:val="283583" w:themeColor="text2"/>
        </w:rPr>
        <w:t xml:space="preserve">“The Commissioning Lead was interested, and </w:t>
      </w:r>
      <w:bookmarkStart w:id="42" w:name="_Int_mbobNKh3"/>
      <w:r w:rsidRPr="6002C6A8">
        <w:rPr>
          <w:i/>
          <w:iCs/>
          <w:color w:val="283583" w:themeColor="text2"/>
        </w:rPr>
        <w:t>I think we</w:t>
      </w:r>
      <w:bookmarkEnd w:id="42"/>
      <w:r w:rsidRPr="6002C6A8">
        <w:rPr>
          <w:i/>
          <w:iCs/>
          <w:color w:val="283583" w:themeColor="text2"/>
        </w:rPr>
        <w:t xml:space="preserve"> also just got on the Commissioning Academy as </w:t>
      </w:r>
      <w:r w:rsidR="00546120" w:rsidRPr="6002C6A8">
        <w:rPr>
          <w:i/>
          <w:iCs/>
          <w:color w:val="283583" w:themeColor="text2"/>
        </w:rPr>
        <w:t xml:space="preserve">a </w:t>
      </w:r>
      <w:r w:rsidRPr="6002C6A8">
        <w:rPr>
          <w:i/>
          <w:iCs/>
          <w:color w:val="283583" w:themeColor="text2"/>
        </w:rPr>
        <w:t xml:space="preserve">local authority around this time. So, I would say there was that driving force, that interest in trying something new […] There was an interest from the team, without a doubt, </w:t>
      </w:r>
      <w:r w:rsidR="00546120" w:rsidRPr="6002C6A8">
        <w:rPr>
          <w:i/>
          <w:iCs/>
          <w:color w:val="283583" w:themeColor="text2"/>
        </w:rPr>
        <w:t xml:space="preserve">in </w:t>
      </w:r>
      <w:r w:rsidRPr="6002C6A8">
        <w:rPr>
          <w:i/>
          <w:iCs/>
          <w:color w:val="283583" w:themeColor="text2"/>
        </w:rPr>
        <w:t xml:space="preserve">exploring </w:t>
      </w:r>
      <w:bookmarkStart w:id="43" w:name="_Int_7BvwX8lJ"/>
      <w:r w:rsidRPr="6002C6A8">
        <w:rPr>
          <w:i/>
          <w:iCs/>
          <w:color w:val="283583" w:themeColor="text2"/>
        </w:rPr>
        <w:t>different ways</w:t>
      </w:r>
      <w:bookmarkEnd w:id="43"/>
      <w:r w:rsidRPr="6002C6A8">
        <w:rPr>
          <w:i/>
          <w:iCs/>
          <w:color w:val="283583" w:themeColor="text2"/>
        </w:rPr>
        <w:t xml:space="preserve"> of doing things.” </w:t>
      </w:r>
      <w:r w:rsidR="00BB60BE" w:rsidRPr="6002C6A8">
        <w:rPr>
          <w:color w:val="283583" w:themeColor="text2"/>
        </w:rPr>
        <w:t>(LA commissioner)</w:t>
      </w:r>
    </w:p>
    <w:p w14:paraId="097C9AE3" w14:textId="411824E1" w:rsidR="006E6856" w:rsidRDefault="006E6856" w:rsidP="006E6856">
      <w:pPr>
        <w:pStyle w:val="EcorysBody"/>
        <w:jc w:val="both"/>
      </w:pPr>
      <w:r>
        <w:t xml:space="preserve">The evidence from REA suggests that sociological factors impact the wider commissioning environment </w:t>
      </w:r>
      <w:r w:rsidR="00DC5C1E">
        <w:t>by</w:t>
      </w:r>
      <w:r>
        <w:t xml:space="preserve"> driving the demand and supply of services and determin</w:t>
      </w:r>
      <w:r w:rsidR="00DC5C1E">
        <w:t>ing</w:t>
      </w:r>
      <w:r>
        <w:t xml:space="preserve"> the pricing of the services. Our </w:t>
      </w:r>
      <w:r w:rsidR="000172D3">
        <w:t>qualitative research</w:t>
      </w:r>
      <w:r>
        <w:t xml:space="preserve"> provided further evidence that the size of the local authority and their population as well as wider demographics are likely to impact the commissioning environment. This is likely to motivate local authorities </w:t>
      </w:r>
      <w:r w:rsidR="00DC5C1E">
        <w:t xml:space="preserve">to </w:t>
      </w:r>
      <w:r>
        <w:t xml:space="preserve">seek </w:t>
      </w:r>
      <w:r w:rsidR="00DC5C1E">
        <w:t xml:space="preserve">contacting </w:t>
      </w:r>
      <w:r>
        <w:t xml:space="preserve">approaches that support </w:t>
      </w:r>
      <w:r w:rsidR="003D0418">
        <w:t xml:space="preserve">adaptability to </w:t>
      </w:r>
      <w:r>
        <w:t>local solutions</w:t>
      </w:r>
      <w:r w:rsidR="06A56F8E">
        <w:t xml:space="preserve">. </w:t>
      </w:r>
      <w:r>
        <w:t xml:space="preserve">Furthermore, the commissioners taking part in our </w:t>
      </w:r>
      <w:r w:rsidR="000172D3">
        <w:t>research</w:t>
      </w:r>
      <w:r>
        <w:t xml:space="preserve"> shared that they are experiencing increased complexity of service users</w:t>
      </w:r>
      <w:r w:rsidR="00D8021B">
        <w:t>’</w:t>
      </w:r>
      <w:r>
        <w:t xml:space="preserve"> needs, especially </w:t>
      </w:r>
      <w:r w:rsidR="00D8021B">
        <w:t xml:space="preserve">in </w:t>
      </w:r>
      <w:r>
        <w:t xml:space="preserve">communities in more </w:t>
      </w:r>
      <w:r>
        <w:lastRenderedPageBreak/>
        <w:t xml:space="preserve">deprived areas. The evidence from the literature and the </w:t>
      </w:r>
      <w:r w:rsidR="000172D3">
        <w:t xml:space="preserve">primary research </w:t>
      </w:r>
      <w:r>
        <w:t>indicates that</w:t>
      </w:r>
      <w:r w:rsidR="003D0418">
        <w:t xml:space="preserve"> the</w:t>
      </w:r>
      <w:r>
        <w:t xml:space="preserve"> use of outcomes-based approaches is often determined by commissioners’ desire to a </w:t>
      </w:r>
      <w:r w:rsidR="00B80C55">
        <w:t xml:space="preserve">commission a </w:t>
      </w:r>
      <w:r>
        <w:t xml:space="preserve">service which can flexibly address </w:t>
      </w:r>
      <w:r w:rsidR="00B80C55">
        <w:t xml:space="preserve">the </w:t>
      </w:r>
      <w:r>
        <w:t xml:space="preserve">changing needs of service users. Additionally, the combined evidence strongly suggests that greater collaboration, and openness to innovation might serve as enabling factors in adopting new </w:t>
      </w:r>
      <w:r w:rsidR="00B80C55">
        <w:t xml:space="preserve">or innovative </w:t>
      </w:r>
      <w:r>
        <w:t>approaches to co</w:t>
      </w:r>
      <w:r w:rsidR="00B80C55">
        <w:t>ntracting</w:t>
      </w:r>
      <w:r>
        <w:t xml:space="preserve">. </w:t>
      </w:r>
    </w:p>
    <w:p w14:paraId="21DCABB3" w14:textId="48835F30" w:rsidR="00325D0C" w:rsidRDefault="00325D0C" w:rsidP="00325D0C">
      <w:pPr>
        <w:pStyle w:val="EcorysSectionLevel02"/>
      </w:pPr>
      <w:bookmarkStart w:id="44" w:name="_Toc167437670"/>
      <w:r>
        <w:t>Technological factors</w:t>
      </w:r>
      <w:bookmarkEnd w:id="44"/>
      <w:r w:rsidR="004E13C8">
        <w:t xml:space="preserve"> </w:t>
      </w:r>
    </w:p>
    <w:p w14:paraId="72A9438F" w14:textId="77777777" w:rsidR="006E6856" w:rsidRDefault="006E6856" w:rsidP="006E6856">
      <w:pPr>
        <w:pStyle w:val="EcorysBody"/>
        <w:jc w:val="both"/>
      </w:pPr>
      <w:r w:rsidRPr="00C56676">
        <w:t>This section considers how technological factors (e.g. information, automation, and technological awareness) impact local authority decision-making when choosing a contracting approach.</w:t>
      </w:r>
    </w:p>
    <w:p w14:paraId="6291C599" w14:textId="0D5B0857" w:rsidR="006E6856" w:rsidRDefault="006E6856" w:rsidP="006E6856">
      <w:pPr>
        <w:pStyle w:val="EcorysBody"/>
        <w:jc w:val="both"/>
      </w:pPr>
      <w:r>
        <w:t xml:space="preserve">Although </w:t>
      </w:r>
      <w:r w:rsidR="00395159">
        <w:t xml:space="preserve">The </w:t>
      </w:r>
      <w:r>
        <w:t>National Procurement Strategy for Local Government in England 2022 (L</w:t>
      </w:r>
      <w:r w:rsidR="0053589B">
        <w:t xml:space="preserve">ocal </w:t>
      </w:r>
      <w:r>
        <w:t>G</w:t>
      </w:r>
      <w:r w:rsidR="0053589B">
        <w:t xml:space="preserve">overnment </w:t>
      </w:r>
      <w:r>
        <w:t>A</w:t>
      </w:r>
      <w:r w:rsidR="0053589B">
        <w:t>ssociation</w:t>
      </w:r>
      <w:r>
        <w:t>, 202</w:t>
      </w:r>
      <w:r w:rsidR="0053589B">
        <w:t>2</w:t>
      </w:r>
      <w:r>
        <w:t xml:space="preserve">), states that </w:t>
      </w:r>
      <w:r w:rsidRPr="6002C6A8">
        <w:rPr>
          <w:i/>
          <w:iCs/>
        </w:rPr>
        <w:t>‘rapid use of data is critical for understanding how to manage procurements and contracts’</w:t>
      </w:r>
      <w:r>
        <w:t xml:space="preserve">, the REA and our </w:t>
      </w:r>
      <w:r w:rsidR="000172D3">
        <w:t>primary research</w:t>
      </w:r>
      <w:r>
        <w:t xml:space="preserve"> provided only </w:t>
      </w:r>
      <w:bookmarkStart w:id="45" w:name="_Int_hPsnWOov"/>
      <w:r>
        <w:t xml:space="preserve">very </w:t>
      </w:r>
      <w:r w:rsidRPr="6002C6A8">
        <w:rPr>
          <w:b/>
          <w:bCs/>
        </w:rPr>
        <w:t>limited</w:t>
      </w:r>
      <w:bookmarkEnd w:id="45"/>
      <w:r w:rsidRPr="6002C6A8">
        <w:rPr>
          <w:b/>
          <w:bCs/>
        </w:rPr>
        <w:t xml:space="preserve"> evidence of how technology affects decision-making on contracting approaches in practice</w:t>
      </w:r>
      <w:r>
        <w:t>. The literature illustrates that joint commissioning arrangement</w:t>
      </w:r>
      <w:r w:rsidR="00395159">
        <w:t>s</w:t>
      </w:r>
      <w:r>
        <w:t xml:space="preserve"> as well as outcomes-based approaches put emphasis on data collection and encourage data sharing</w:t>
      </w:r>
      <w:r w:rsidR="00DA685E">
        <w:t xml:space="preserve"> </w:t>
      </w:r>
      <w:r>
        <w:t xml:space="preserve">across partners through data sharing systems and agreements. This can </w:t>
      </w:r>
      <w:bookmarkStart w:id="46" w:name="_Int_d9aEtQgG"/>
      <w:r>
        <w:t xml:space="preserve">ultimately </w:t>
      </w:r>
      <w:r w:rsidR="007318D6">
        <w:t>lead</w:t>
      </w:r>
      <w:bookmarkEnd w:id="46"/>
      <w:r w:rsidR="007318D6">
        <w:t xml:space="preserve"> to</w:t>
      </w:r>
      <w:r w:rsidR="002B17A3">
        <w:t xml:space="preserve"> increased focus on technology and software used for collecting and sharing data</w:t>
      </w:r>
      <w:r w:rsidR="1881153C">
        <w:t xml:space="preserve">. </w:t>
      </w:r>
      <w:r w:rsidR="00BE1EAF">
        <w:t xml:space="preserve">Furthermore, </w:t>
      </w:r>
      <w:r w:rsidR="00770AF6">
        <w:t xml:space="preserve">the data sharing amongst partner then leads to </w:t>
      </w:r>
      <w:r>
        <w:t>more informed decision-making</w:t>
      </w:r>
      <w:r w:rsidR="00413F7B">
        <w:t xml:space="preserve"> when designing and delivering services</w:t>
      </w:r>
      <w:r w:rsidR="00C923C1">
        <w:t xml:space="preserve">; a point that was </w:t>
      </w:r>
      <w:r>
        <w:t xml:space="preserve">further echoed by several commissioners participating in the workshops.  </w:t>
      </w:r>
    </w:p>
    <w:p w14:paraId="0D567A24" w14:textId="787268CF" w:rsidR="006E6856" w:rsidRDefault="006E6856" w:rsidP="006E6856">
      <w:pPr>
        <w:pStyle w:val="EcorysBody"/>
        <w:jc w:val="both"/>
      </w:pPr>
      <w:r>
        <w:t>Learning from the HeadStart Partnerships, The National Lottery Community Fund’s programme supporting young people’s mental health and wellbeing, suggests that joint commissioning arrangements can facilitate partners to share datasets on their local population, which has the potential to then inform decision-making to commission more effective service delivery (</w:t>
      </w:r>
      <w:r w:rsidR="0056464A">
        <w:t>The National Lottery Community Fund</w:t>
      </w:r>
      <w:r w:rsidR="00DB40E7">
        <w:t xml:space="preserve"> and </w:t>
      </w:r>
      <w:r>
        <w:t>National Children</w:t>
      </w:r>
      <w:r w:rsidR="00C157CA">
        <w:t>’</w:t>
      </w:r>
      <w:r>
        <w:t>s Bureau, 202</w:t>
      </w:r>
      <w:r w:rsidR="004D7AC7">
        <w:t>2</w:t>
      </w:r>
      <w:r>
        <w:t>). This point is further emphasised in the Local Authority Transformational Models guide (</w:t>
      </w:r>
      <w:proofErr w:type="spellStart"/>
      <w:r w:rsidR="004D7AC7">
        <w:t>Localis</w:t>
      </w:r>
      <w:proofErr w:type="spellEnd"/>
      <w:r w:rsidR="004D7AC7">
        <w:t xml:space="preserve">, </w:t>
      </w:r>
      <w:r>
        <w:t>20</w:t>
      </w:r>
      <w:r w:rsidR="004D7AC7">
        <w:t>16</w:t>
      </w:r>
      <w:r>
        <w:t>), which highlights the importance of IT systems being set up in a way that allows transformation of services and commissioning so that they can be more person-centred. This could otherwise block some councils</w:t>
      </w:r>
      <w:r w:rsidR="00C157CA">
        <w:t>’</w:t>
      </w:r>
      <w:r>
        <w:t xml:space="preserve"> decisions to take a person-centred approach (</w:t>
      </w:r>
      <w:proofErr w:type="spellStart"/>
      <w:r>
        <w:t>Localis</w:t>
      </w:r>
      <w:proofErr w:type="spellEnd"/>
      <w:r>
        <w:t>, 20</w:t>
      </w:r>
      <w:r w:rsidR="004D7AC7">
        <w:t>16</w:t>
      </w:r>
      <w:r>
        <w:t>)</w:t>
      </w:r>
      <w:r w:rsidR="5B7E9492">
        <w:t xml:space="preserve">. </w:t>
      </w:r>
      <w:r>
        <w:t xml:space="preserve">The commissioners participating in workshops echoed this and agreed that the </w:t>
      </w:r>
      <w:r w:rsidRPr="6002C6A8">
        <w:rPr>
          <w:b/>
          <w:bCs/>
        </w:rPr>
        <w:t>adoption of data collection and data sharing systems is crucial to support innovation and successful delivery of outcome-based contracts</w:t>
      </w:r>
      <w:r>
        <w:t xml:space="preserve">. </w:t>
      </w:r>
      <w:r w:rsidR="006A743D">
        <w:t>One commissioner</w:t>
      </w:r>
      <w:r>
        <w:t xml:space="preserve"> also emphasised that a data sharing agreement between </w:t>
      </w:r>
      <w:r w:rsidR="00703A73">
        <w:t>partners</w:t>
      </w:r>
      <w:r>
        <w:t xml:space="preserve"> should have been put in place from the beginning of their SIB contract to </w:t>
      </w:r>
      <w:r w:rsidR="004A4845">
        <w:t xml:space="preserve">facilitate </w:t>
      </w:r>
      <w:r>
        <w:t>setting</w:t>
      </w:r>
      <w:r w:rsidR="004A4845">
        <w:t xml:space="preserve"> </w:t>
      </w:r>
      <w:r>
        <w:t>up targets and</w:t>
      </w:r>
      <w:r w:rsidR="0018764A">
        <w:t xml:space="preserve"> defining</w:t>
      </w:r>
      <w:r>
        <w:t xml:space="preserve"> outcomes.</w:t>
      </w:r>
    </w:p>
    <w:p w14:paraId="6F3C2D78" w14:textId="569D0DBB" w:rsidR="006E6856" w:rsidRDefault="006E6856" w:rsidP="006E6856">
      <w:pPr>
        <w:pStyle w:val="EcorysBody"/>
        <w:jc w:val="both"/>
      </w:pPr>
      <w:r>
        <w:t xml:space="preserve">The combined REA and </w:t>
      </w:r>
      <w:r w:rsidR="000172D3">
        <w:t>primary research</w:t>
      </w:r>
      <w:r>
        <w:t xml:space="preserve"> evidence suggest that technological factors impact commissioners’ decision</w:t>
      </w:r>
      <w:r w:rsidR="00E754E9">
        <w:t>s</w:t>
      </w:r>
      <w:r>
        <w:t xml:space="preserve"> </w:t>
      </w:r>
      <w:bookmarkStart w:id="47" w:name="_Int_zKdbi5Gy"/>
      <w:r>
        <w:t>mainly around</w:t>
      </w:r>
      <w:bookmarkEnd w:id="47"/>
      <w:r>
        <w:t xml:space="preserve"> use of outcome-based and/or joint commissioning approaches</w:t>
      </w:r>
      <w:r w:rsidR="193A9B45">
        <w:t xml:space="preserve">. </w:t>
      </w:r>
      <w:r>
        <w:t xml:space="preserve">Most commissioners </w:t>
      </w:r>
      <w:r w:rsidR="00496A23">
        <w:t xml:space="preserve">interviewed were </w:t>
      </w:r>
      <w:r>
        <w:t xml:space="preserve">aware that to successfully deliver those types of contracts, LAs need </w:t>
      </w:r>
      <w:r w:rsidR="00E754E9">
        <w:t xml:space="preserve">adequate </w:t>
      </w:r>
      <w:r>
        <w:t>data collection and data sharing systems in place</w:t>
      </w:r>
      <w:r w:rsidR="07A25AE7">
        <w:t xml:space="preserve">. </w:t>
      </w:r>
    </w:p>
    <w:p w14:paraId="272324C7" w14:textId="2C929958" w:rsidR="00325D0C" w:rsidRDefault="00325D0C" w:rsidP="00325D0C">
      <w:pPr>
        <w:pStyle w:val="EcorysSectionLevel02"/>
      </w:pPr>
      <w:bookmarkStart w:id="48" w:name="_Toc167437671"/>
      <w:r>
        <w:t>Legal factors</w:t>
      </w:r>
      <w:bookmarkEnd w:id="48"/>
      <w:r w:rsidR="004E13C8">
        <w:t xml:space="preserve"> </w:t>
      </w:r>
    </w:p>
    <w:p w14:paraId="626E1293" w14:textId="7B329229" w:rsidR="006E6856" w:rsidRDefault="006E6856" w:rsidP="006E6856">
      <w:pPr>
        <w:pStyle w:val="EcorysBody"/>
      </w:pPr>
      <w:r>
        <w:t>The following section explores how legal factors impact on commissioner decision-making and how these shape the commissioning environment, especially</w:t>
      </w:r>
      <w:r w:rsidR="00BA5406">
        <w:t xml:space="preserve"> in terms of</w:t>
      </w:r>
      <w:r>
        <w:t xml:space="preserve"> legal definitions of commissioners’ responsibilities</w:t>
      </w:r>
      <w:r w:rsidR="3D725EB0">
        <w:t xml:space="preserve">. </w:t>
      </w:r>
      <w:r>
        <w:t xml:space="preserve">Legal factors can further affect the policies and procedures that LAs </w:t>
      </w:r>
      <w:bookmarkStart w:id="49" w:name="_Int_bmZyv80m"/>
      <w:r>
        <w:t>have to</w:t>
      </w:r>
      <w:bookmarkEnd w:id="49"/>
      <w:r>
        <w:t xml:space="preserve"> adhere to, which naturally influence commissioners’ decision-making when choosing a contracting approach. </w:t>
      </w:r>
    </w:p>
    <w:p w14:paraId="33CB6F5D" w14:textId="1D06098F" w:rsidR="006E6856" w:rsidRDefault="006E6856" w:rsidP="006E6856">
      <w:pPr>
        <w:pStyle w:val="EcorysBody"/>
        <w:jc w:val="both"/>
      </w:pPr>
      <w:r>
        <w:t>The reviewed literature consider</w:t>
      </w:r>
      <w:r w:rsidR="00B53D1D">
        <w:t>ed</w:t>
      </w:r>
      <w:r>
        <w:t xml:space="preserve"> a range of legislation defining the mechanisms and rules for public procurement, the statutory duties of LAs to deliver specific services, and the roles and responsibilities of different commissioning bodies. However, the REA provide</w:t>
      </w:r>
      <w:r w:rsidR="00E50B6F">
        <w:t>d</w:t>
      </w:r>
      <w:r>
        <w:t xml:space="preserve"> only limited evidence on how legislative factors impact commissioner decision-making about specific contracting approaches. Further evidence from our </w:t>
      </w:r>
      <w:r w:rsidR="000172D3">
        <w:t xml:space="preserve">primary </w:t>
      </w:r>
      <w:r w:rsidR="000172D3">
        <w:lastRenderedPageBreak/>
        <w:t>research</w:t>
      </w:r>
      <w:r>
        <w:t xml:space="preserve"> suggests decision-makers’ approaches are </w:t>
      </w:r>
      <w:bookmarkStart w:id="50" w:name="_Int_3BoX8cb4"/>
      <w:r>
        <w:t>mainly determined</w:t>
      </w:r>
      <w:bookmarkEnd w:id="50"/>
      <w:r>
        <w:t xml:space="preserve"> by the </w:t>
      </w:r>
      <w:r w:rsidRPr="6002C6A8">
        <w:rPr>
          <w:b/>
          <w:bCs/>
        </w:rPr>
        <w:t>contract’s flexibility and expected contractual obligations</w:t>
      </w:r>
      <w:r w:rsidR="007E7159" w:rsidRPr="6002C6A8">
        <w:rPr>
          <w:b/>
          <w:bCs/>
        </w:rPr>
        <w:t xml:space="preserve"> </w:t>
      </w:r>
      <w:r w:rsidR="007E7159">
        <w:t>(e.g</w:t>
      </w:r>
      <w:r w:rsidR="004518B5">
        <w:t>.</w:t>
      </w:r>
      <w:r w:rsidR="00AC435D">
        <w:t xml:space="preserve"> any future financial</w:t>
      </w:r>
      <w:r w:rsidR="004518B5">
        <w:t xml:space="preserve"> commitments)</w:t>
      </w:r>
      <w:r w:rsidRPr="6002C6A8">
        <w:rPr>
          <w:b/>
          <w:bCs/>
        </w:rPr>
        <w:t>.</w:t>
      </w:r>
    </w:p>
    <w:p w14:paraId="1E7C1416" w14:textId="5A226D69" w:rsidR="006E6856" w:rsidRDefault="006E6856" w:rsidP="6002C6A8">
      <w:pPr>
        <w:pStyle w:val="EcorysTableBullet02"/>
        <w:numPr>
          <w:ilvl w:val="0"/>
          <w:numId w:val="0"/>
        </w:numPr>
        <w:spacing w:before="20" w:after="20" w:line="300" w:lineRule="auto"/>
        <w:jc w:val="both"/>
        <w:rPr>
          <w:b/>
          <w:bCs/>
          <w:color w:val="7030A0"/>
        </w:rPr>
      </w:pPr>
      <w:r>
        <w:t xml:space="preserve">In many cases, the reviewed documents reference </w:t>
      </w:r>
      <w:r w:rsidRPr="6002C6A8">
        <w:rPr>
          <w:b/>
          <w:bCs/>
        </w:rPr>
        <w:t>laws defining statutory duties of LAs in specific policy areas</w:t>
      </w:r>
      <w:r>
        <w:t xml:space="preserve">, such as health, adult social </w:t>
      </w:r>
      <w:r w:rsidR="7400B846">
        <w:t>care,</w:t>
      </w:r>
      <w:r>
        <w:t xml:space="preserve"> and </w:t>
      </w:r>
      <w:r w:rsidR="00963216">
        <w:t>social care</w:t>
      </w:r>
      <w:r>
        <w:t xml:space="preserve"> services for children. This was often to provide wider policy development background and explain LAs’ responsibilities in delivering certain services. For example, Bach-</w:t>
      </w:r>
      <w:proofErr w:type="spellStart"/>
      <w:r>
        <w:t>Mortense</w:t>
      </w:r>
      <w:proofErr w:type="spellEnd"/>
      <w:r>
        <w:t xml:space="preserve"> et al. (2020) refers to the Children Act 1989 (later amended by the Children and Young Persons Act 2008), which requires LAs to ensure ‘sufficiency’ of residential social care provision within their area. It is thus expected from LAs that commissioning practice addresses sufficiency issues for services relating to the Children Act. As the definition of ‘sufficiency’ is open to different interpretations, those might have further impact on commissioners’ decision-making, however, this is not discussed in depth in the literature. On the other hand, different commissioners participating in the workshops explained that commissioning bodies are more likely to use alternative approaches to commissioning, such as SIB or other outcome-based approaches, to deliver service</w:t>
      </w:r>
      <w:r w:rsidR="009E0237">
        <w:t>s</w:t>
      </w:r>
      <w:r>
        <w:t xml:space="preserve"> which are outside of their statutory duties</w:t>
      </w:r>
      <w:r w:rsidR="00F27D54">
        <w:t xml:space="preserve">, </w:t>
      </w:r>
      <w:r w:rsidR="00082577">
        <w:t>to protect their budget</w:t>
      </w:r>
      <w:r w:rsidR="002326F1">
        <w:t xml:space="preserve"> by mitigating financial risks </w:t>
      </w:r>
      <w:r w:rsidR="00082577">
        <w:t xml:space="preserve"> (i.e. only paying for achieved outcomes) and in</w:t>
      </w:r>
      <w:r w:rsidR="002326F1">
        <w:t xml:space="preserve"> the case of SIBs</w:t>
      </w:r>
      <w:r w:rsidR="00101458">
        <w:t>,</w:t>
      </w:r>
      <w:r w:rsidR="002326F1">
        <w:t xml:space="preserve"> </w:t>
      </w:r>
      <w:r w:rsidR="00EA1359">
        <w:t xml:space="preserve">also by </w:t>
      </w:r>
      <w:r w:rsidR="00101458">
        <w:t>having the</w:t>
      </w:r>
      <w:r w:rsidR="00EA1359">
        <w:t xml:space="preserve"> </w:t>
      </w:r>
      <w:r w:rsidR="00101458">
        <w:t>upfront</w:t>
      </w:r>
      <w:r w:rsidR="00EA1359">
        <w:t xml:space="preserve"> </w:t>
      </w:r>
      <w:r w:rsidR="009729AE">
        <w:t>capital from</w:t>
      </w:r>
      <w:r w:rsidR="00B45FF9">
        <w:t xml:space="preserve"> a</w:t>
      </w:r>
      <w:r w:rsidR="009729AE">
        <w:t xml:space="preserve"> social </w:t>
      </w:r>
      <w:r w:rsidR="00B45FF9">
        <w:t>investor</w:t>
      </w:r>
      <w:r w:rsidR="006667DA">
        <w:t xml:space="preserve"> to deliver a service</w:t>
      </w:r>
      <w:r>
        <w:t xml:space="preserve">. For example, </w:t>
      </w:r>
      <w:r w:rsidR="00E83674">
        <w:t>several</w:t>
      </w:r>
      <w:r w:rsidR="00E0010A">
        <w:t xml:space="preserve"> </w:t>
      </w:r>
      <w:r>
        <w:t>commissioners were</w:t>
      </w:r>
      <w:r w:rsidR="00E83674">
        <w:t xml:space="preserve"> </w:t>
      </w:r>
      <w:r>
        <w:t>motivated to use a SIB model to deliver different preventive service</w:t>
      </w:r>
      <w:r w:rsidR="00E83674">
        <w:t>s</w:t>
      </w:r>
      <w:r>
        <w:t xml:space="preserve">, as the model provides a prior financial investment from a social investor. </w:t>
      </w:r>
      <w:r w:rsidR="00D20E05">
        <w:t>In one case, t</w:t>
      </w:r>
      <w:r>
        <w:t xml:space="preserve">he council would not </w:t>
      </w:r>
      <w:r w:rsidR="00D20E05">
        <w:t xml:space="preserve">have been </w:t>
      </w:r>
      <w:r>
        <w:t xml:space="preserve">able to provide the initial investment themselves, as they are expected to financially prioritise delivery of </w:t>
      </w:r>
      <w:r w:rsidR="0016509B">
        <w:t xml:space="preserve">statutory </w:t>
      </w:r>
      <w:r>
        <w:t>service</w:t>
      </w:r>
      <w:r w:rsidR="006667DA">
        <w:t>s</w:t>
      </w:r>
      <w:r>
        <w:t xml:space="preserve">. </w:t>
      </w:r>
      <w:r w:rsidR="009B69B6">
        <w:t xml:space="preserve">Furthermore, </w:t>
      </w:r>
      <w:r w:rsidR="0016509B">
        <w:t xml:space="preserve">commissioners noted that </w:t>
      </w:r>
      <w:r w:rsidR="009B69B6">
        <w:t>the SIB model is particularly suitable to finance preventative service</w:t>
      </w:r>
      <w:r w:rsidR="0016509B">
        <w:t>s</w:t>
      </w:r>
      <w:r w:rsidR="009B69B6">
        <w:t xml:space="preserve"> as it </w:t>
      </w:r>
      <w:r w:rsidR="0016509B">
        <w:t xml:space="preserve">can mean </w:t>
      </w:r>
      <w:r w:rsidR="009B69B6">
        <w:t>outcomes</w:t>
      </w:r>
      <w:r w:rsidR="0016509B">
        <w:t xml:space="preserve"> are paid for</w:t>
      </w:r>
      <w:r w:rsidR="009B69B6">
        <w:t xml:space="preserve"> through the avoidance of costs. </w:t>
      </w:r>
    </w:p>
    <w:p w14:paraId="191B468B" w14:textId="2929E7D4" w:rsidR="006E6856" w:rsidRDefault="006E6856" w:rsidP="006E6856">
      <w:pPr>
        <w:pStyle w:val="EcorysTableBullet02"/>
        <w:numPr>
          <w:ilvl w:val="0"/>
          <w:numId w:val="0"/>
        </w:numPr>
        <w:spacing w:before="20" w:after="20" w:line="300" w:lineRule="auto"/>
        <w:jc w:val="both"/>
        <w:rPr>
          <w:b/>
          <w:bCs/>
        </w:rPr>
      </w:pPr>
      <w:r>
        <w:t>Several reviewed sources reflect</w:t>
      </w:r>
      <w:r w:rsidR="00AA55FB">
        <w:t>ed</w:t>
      </w:r>
      <w:r>
        <w:t xml:space="preserve"> on commissioning in health and adult social care and the increasing focus on the </w:t>
      </w:r>
      <w:r w:rsidRPr="6002C6A8">
        <w:rPr>
          <w:b/>
          <w:bCs/>
        </w:rPr>
        <w:t>division of commissioning responsibilities between multiple stakeholders</w:t>
      </w:r>
      <w:r>
        <w:t xml:space="preserve">, </w:t>
      </w:r>
      <w:bookmarkStart w:id="51" w:name="_Int_ldy0XrIH"/>
      <w:r>
        <w:t>as a result of</w:t>
      </w:r>
      <w:bookmarkEnd w:id="51"/>
      <w:r>
        <w:t xml:space="preserve"> multiple reforms within the sector. The Health and Social Care Act 2012 introduced a three-way division of responsibilities for health and social care commissioning, where </w:t>
      </w:r>
      <w:r w:rsidRPr="6002C6A8">
        <w:rPr>
          <w:i/>
          <w:iCs/>
        </w:rPr>
        <w:t>“local authorities would be responsible for social care, some public health services (e.g. sexual health and addiction services) and wider public services that affect health, such as transport, housing and leisure facilities”</w:t>
      </w:r>
      <w:r>
        <w:t xml:space="preserve"> (Robertson and Ewbank, 2020, p.13). In 2019, Clinical Commissioning Groups (CCGs) were required to take on a greater role in commissioning public health services collaboratively with local authorities (Robertson and Ewbank, 2020). However, the legislative landscape has recently changed again</w:t>
      </w:r>
      <w:r w:rsidR="7F9A6D5D">
        <w:t xml:space="preserve">. </w:t>
      </w:r>
      <w:r w:rsidR="00F3508C">
        <w:t xml:space="preserve">The </w:t>
      </w:r>
      <w:r>
        <w:t>Health and Social Care Act 2022 formalised Integrated Care Systems (ICSs) that comprise of Integrated Care Boards and Integrated Care Partnerships, which subsumed CCGs. The Act was also complemented by a white paper that proposed a focus on Place Based Commissioning (Local Government Association, 202</w:t>
      </w:r>
      <w:r w:rsidR="00DB40E7">
        <w:t>2</w:t>
      </w:r>
      <w:r>
        <w:t>b). Some literature emphasised that the frequent legislative changes led to a level of confusion around the commissioning responsibilities between different commissioning bodies (Gadsby et al., 20</w:t>
      </w:r>
      <w:r w:rsidR="00126C50">
        <w:t>17</w:t>
      </w:r>
      <w:r>
        <w:t>). However, overall, the reviewed literature</w:t>
      </w:r>
      <w:r w:rsidR="00273610">
        <w:t xml:space="preserve"> and qualitative research</w:t>
      </w:r>
      <w:r>
        <w:t xml:space="preserve"> provided limited information about the impact of these legislative changes on decisions about contracting approaches.</w:t>
      </w:r>
    </w:p>
    <w:p w14:paraId="466DFEF7" w14:textId="6899B5EB" w:rsidR="006E6856" w:rsidRPr="002370D3" w:rsidRDefault="006E6856" w:rsidP="006E6856">
      <w:pPr>
        <w:pStyle w:val="EcorysTableBullet02"/>
        <w:numPr>
          <w:ilvl w:val="0"/>
          <w:numId w:val="0"/>
        </w:numPr>
        <w:spacing w:after="20" w:line="300" w:lineRule="auto"/>
        <w:jc w:val="both"/>
      </w:pPr>
      <w:r>
        <w:t xml:space="preserve">There was some evidence from </w:t>
      </w:r>
      <w:r w:rsidR="00571A9A">
        <w:t xml:space="preserve">the </w:t>
      </w:r>
      <w:r>
        <w:t xml:space="preserve">REA </w:t>
      </w:r>
      <w:r w:rsidR="00571A9A">
        <w:t xml:space="preserve">that </w:t>
      </w:r>
      <w:r>
        <w:t>reflect</w:t>
      </w:r>
      <w:r w:rsidR="00571A9A">
        <w:t>ed</w:t>
      </w:r>
      <w:r>
        <w:t xml:space="preserve"> on the impact of </w:t>
      </w:r>
      <w:r w:rsidRPr="6002C6A8">
        <w:rPr>
          <w:b/>
          <w:bCs/>
        </w:rPr>
        <w:t>recent Social Value legislation</w:t>
      </w:r>
      <w:r>
        <w:t xml:space="preserve"> (i.e. legislation that requires some (in England all) public sector organisations, including LAs, to consider how the services they commission can improve the economic, social, and environmental wellbeing of an area (The Public Services (Social Value) Act 2013 (England)</w:t>
      </w:r>
      <w:r w:rsidR="00D72D92">
        <w:t xml:space="preserve"> and</w:t>
      </w:r>
      <w:r w:rsidR="00605463">
        <w:t xml:space="preserve"> </w:t>
      </w:r>
      <w:r>
        <w:t>The Procurement Reform Act 2014 (Scotland)). While the requirement for including Social Value considerations is (at the time of writing) limited to Central Government procurement only, Thomson and Smith (20</w:t>
      </w:r>
      <w:r w:rsidR="00126C50">
        <w:t>19</w:t>
      </w:r>
      <w:r>
        <w:t>20</w:t>
      </w:r>
      <w:r w:rsidR="00126C50">
        <w:t>19</w:t>
      </w:r>
      <w:r>
        <w:t xml:space="preserve">) provided examples of how, as a result of these wider legislative changes, some local authorities have developed their own social value statements and taken innovative approaches to procurement as a result (for example, ensuring that a proportion of the scoring in procurement is allocated to social value considerations). Some commissioners participating in the workshops shared that they </w:t>
      </w:r>
      <w:r>
        <w:lastRenderedPageBreak/>
        <w:t xml:space="preserve">often struggle to assess and score the social value responses in a consistent or standardised way. They also highlighted that although they consider social value in the cases where </w:t>
      </w:r>
      <w:r w:rsidR="60CC7445">
        <w:t>it is</w:t>
      </w:r>
      <w:r>
        <w:t xml:space="preserve"> required by the law, it does not impact on their decisions to use different </w:t>
      </w:r>
      <w:r w:rsidR="001C7C12">
        <w:t xml:space="preserve">contracting </w:t>
      </w:r>
      <w:r>
        <w:t>approaches.</w:t>
      </w:r>
    </w:p>
    <w:p w14:paraId="04DB139D" w14:textId="6507CACA" w:rsidR="006E6856" w:rsidRDefault="006E6856" w:rsidP="006E6856">
      <w:pPr>
        <w:pStyle w:val="EcorysTableBullet02"/>
        <w:numPr>
          <w:ilvl w:val="0"/>
          <w:numId w:val="0"/>
        </w:numPr>
        <w:spacing w:after="20" w:line="300" w:lineRule="auto"/>
        <w:jc w:val="both"/>
        <w:rPr>
          <w:b/>
          <w:bCs/>
        </w:rPr>
      </w:pPr>
      <w:r w:rsidRPr="002370D3">
        <w:rPr>
          <w:bCs/>
        </w:rPr>
        <w:t>The commissioner</w:t>
      </w:r>
      <w:r>
        <w:rPr>
          <w:bCs/>
        </w:rPr>
        <w:t>s</w:t>
      </w:r>
      <w:r w:rsidRPr="002370D3">
        <w:rPr>
          <w:bCs/>
        </w:rPr>
        <w:t xml:space="preserve"> </w:t>
      </w:r>
      <w:r w:rsidR="000172D3">
        <w:rPr>
          <w:bCs/>
        </w:rPr>
        <w:t>interviewed</w:t>
      </w:r>
      <w:r w:rsidRPr="002370D3">
        <w:rPr>
          <w:bCs/>
        </w:rPr>
        <w:t xml:space="preserve"> argued that </w:t>
      </w:r>
      <w:r w:rsidRPr="005F2946">
        <w:rPr>
          <w:b/>
        </w:rPr>
        <w:t xml:space="preserve">procurement and contract laws </w:t>
      </w:r>
      <w:r>
        <w:rPr>
          <w:b/>
        </w:rPr>
        <w:t>sometimes</w:t>
      </w:r>
      <w:r w:rsidRPr="005F2946">
        <w:rPr>
          <w:b/>
        </w:rPr>
        <w:t xml:space="preserve"> introduce</w:t>
      </w:r>
      <w:r>
        <w:rPr>
          <w:b/>
        </w:rPr>
        <w:t xml:space="preserve"> additional</w:t>
      </w:r>
      <w:r w:rsidRPr="005F2946">
        <w:rPr>
          <w:b/>
        </w:rPr>
        <w:t xml:space="preserve"> barriers for commissione</w:t>
      </w:r>
      <w:r>
        <w:rPr>
          <w:b/>
        </w:rPr>
        <w:t>r</w:t>
      </w:r>
      <w:r w:rsidRPr="005F2946">
        <w:rPr>
          <w:b/>
        </w:rPr>
        <w:t>s</w:t>
      </w:r>
      <w:r w:rsidRPr="002370D3">
        <w:rPr>
          <w:bCs/>
        </w:rPr>
        <w:t xml:space="preserve"> and mak</w:t>
      </w:r>
      <w:r>
        <w:rPr>
          <w:bCs/>
        </w:rPr>
        <w:t>e</w:t>
      </w:r>
      <w:r w:rsidRPr="002370D3">
        <w:rPr>
          <w:bCs/>
        </w:rPr>
        <w:t xml:space="preserve"> the procurement process too long and complex. For example, </w:t>
      </w:r>
      <w:r>
        <w:rPr>
          <w:bCs/>
        </w:rPr>
        <w:t>they</w:t>
      </w:r>
      <w:r w:rsidRPr="002370D3">
        <w:rPr>
          <w:bCs/>
        </w:rPr>
        <w:t xml:space="preserve"> </w:t>
      </w:r>
      <w:r>
        <w:rPr>
          <w:bCs/>
        </w:rPr>
        <w:t xml:space="preserve">shared that </w:t>
      </w:r>
      <w:r w:rsidR="00F24699">
        <w:rPr>
          <w:bCs/>
        </w:rPr>
        <w:t xml:space="preserve">the </w:t>
      </w:r>
      <w:r w:rsidRPr="002370D3">
        <w:rPr>
          <w:bCs/>
        </w:rPr>
        <w:t xml:space="preserve">framework contracting process </w:t>
      </w:r>
      <w:r>
        <w:rPr>
          <w:bCs/>
        </w:rPr>
        <w:t xml:space="preserve">is </w:t>
      </w:r>
      <w:r w:rsidRPr="002370D3">
        <w:rPr>
          <w:bCs/>
        </w:rPr>
        <w:t xml:space="preserve">too lengthy for most </w:t>
      </w:r>
      <w:r w:rsidR="007900B5" w:rsidRPr="002370D3">
        <w:rPr>
          <w:bCs/>
        </w:rPr>
        <w:t>provider</w:t>
      </w:r>
      <w:r w:rsidR="007900B5">
        <w:rPr>
          <w:bCs/>
        </w:rPr>
        <w:t>s,</w:t>
      </w:r>
      <w:r w:rsidRPr="002370D3">
        <w:rPr>
          <w:bCs/>
        </w:rPr>
        <w:t xml:space="preserve"> </w:t>
      </w:r>
      <w:r w:rsidR="00AF6DCD">
        <w:rPr>
          <w:bCs/>
        </w:rPr>
        <w:t xml:space="preserve">and </w:t>
      </w:r>
      <w:r w:rsidRPr="002370D3">
        <w:rPr>
          <w:bCs/>
        </w:rPr>
        <w:t xml:space="preserve">Contracts Regulations </w:t>
      </w:r>
      <w:r w:rsidR="00AF6DCD">
        <w:rPr>
          <w:bCs/>
        </w:rPr>
        <w:t>(</w:t>
      </w:r>
      <w:r w:rsidRPr="002370D3">
        <w:rPr>
          <w:bCs/>
        </w:rPr>
        <w:t>2015</w:t>
      </w:r>
      <w:r w:rsidR="00AF6DCD">
        <w:rPr>
          <w:bCs/>
        </w:rPr>
        <w:t>)</w:t>
      </w:r>
      <w:r w:rsidRPr="002370D3">
        <w:rPr>
          <w:bCs/>
        </w:rPr>
        <w:t xml:space="preserve"> can be restrictive, especially around early market engagements and post-tender</w:t>
      </w:r>
      <w:r>
        <w:rPr>
          <w:bCs/>
        </w:rPr>
        <w:t xml:space="preserve"> </w:t>
      </w:r>
      <w:r w:rsidRPr="002370D3">
        <w:rPr>
          <w:bCs/>
        </w:rPr>
        <w:t>negotiation</w:t>
      </w:r>
      <w:r>
        <w:rPr>
          <w:bCs/>
        </w:rPr>
        <w:t>, limiting an open discussion with providers</w:t>
      </w:r>
      <w:r w:rsidR="00AF6DCD">
        <w:rPr>
          <w:bCs/>
        </w:rPr>
        <w:t>. T</w:t>
      </w:r>
      <w:r w:rsidR="00CC53A5">
        <w:rPr>
          <w:bCs/>
        </w:rPr>
        <w:t xml:space="preserve">herefore, </w:t>
      </w:r>
      <w:r w:rsidR="00CF33B9">
        <w:rPr>
          <w:bCs/>
        </w:rPr>
        <w:t xml:space="preserve">commissioners might be more likely to use </w:t>
      </w:r>
      <w:r w:rsidR="007813BE">
        <w:rPr>
          <w:bCs/>
        </w:rPr>
        <w:t>open procedure</w:t>
      </w:r>
      <w:r w:rsidRPr="002370D3">
        <w:rPr>
          <w:bCs/>
        </w:rPr>
        <w:t xml:space="preserve"> </w:t>
      </w:r>
      <w:r w:rsidR="00D33E04">
        <w:rPr>
          <w:bCs/>
        </w:rPr>
        <w:t>a</w:t>
      </w:r>
      <w:r w:rsidR="00463683">
        <w:rPr>
          <w:bCs/>
        </w:rPr>
        <w:t>nd FFS model</w:t>
      </w:r>
      <w:r w:rsidR="00E92402">
        <w:rPr>
          <w:bCs/>
        </w:rPr>
        <w:t xml:space="preserve"> (i.e. payment for inputs or activities)</w:t>
      </w:r>
      <w:r w:rsidR="00463683">
        <w:rPr>
          <w:bCs/>
        </w:rPr>
        <w:t>,</w:t>
      </w:r>
      <w:r w:rsidR="00417B99">
        <w:rPr>
          <w:bCs/>
        </w:rPr>
        <w:t xml:space="preserve"> which they</w:t>
      </w:r>
      <w:r w:rsidR="00463683">
        <w:rPr>
          <w:bCs/>
        </w:rPr>
        <w:t xml:space="preserve"> perceived to be the easiest </w:t>
      </w:r>
      <w:r w:rsidR="00483DC0">
        <w:rPr>
          <w:bCs/>
        </w:rPr>
        <w:t xml:space="preserve">and fastest </w:t>
      </w:r>
      <w:r w:rsidR="00463683">
        <w:rPr>
          <w:bCs/>
        </w:rPr>
        <w:t>routes when it comes to commissioning.</w:t>
      </w:r>
      <w:r w:rsidR="00E92402">
        <w:rPr>
          <w:bCs/>
        </w:rPr>
        <w:t xml:space="preserve"> </w:t>
      </w:r>
      <w:r w:rsidRPr="002370D3">
        <w:rPr>
          <w:bCs/>
        </w:rPr>
        <w:t>Additionally, some</w:t>
      </w:r>
      <w:r w:rsidR="00AF3CBF">
        <w:rPr>
          <w:bCs/>
        </w:rPr>
        <w:t xml:space="preserve"> </w:t>
      </w:r>
      <w:r w:rsidR="00487139">
        <w:rPr>
          <w:bCs/>
        </w:rPr>
        <w:t>interviewed</w:t>
      </w:r>
      <w:r w:rsidRPr="002370D3">
        <w:rPr>
          <w:bCs/>
        </w:rPr>
        <w:t xml:space="preserve"> commissioner</w:t>
      </w:r>
      <w:r>
        <w:rPr>
          <w:bCs/>
        </w:rPr>
        <w:t>s</w:t>
      </w:r>
      <w:r w:rsidRPr="002370D3">
        <w:rPr>
          <w:bCs/>
        </w:rPr>
        <w:t xml:space="preserve"> expressed concerns that adopting outcome-based approaches, including SIB</w:t>
      </w:r>
      <w:r w:rsidR="00FB3FDB">
        <w:rPr>
          <w:bCs/>
        </w:rPr>
        <w:t>s</w:t>
      </w:r>
      <w:r w:rsidRPr="002370D3">
        <w:rPr>
          <w:bCs/>
        </w:rPr>
        <w:t xml:space="preserve">, can lead to </w:t>
      </w:r>
      <w:r w:rsidR="00F14E8E">
        <w:rPr>
          <w:bCs/>
        </w:rPr>
        <w:t>using contracts</w:t>
      </w:r>
      <w:r w:rsidRPr="002370D3">
        <w:rPr>
          <w:bCs/>
        </w:rPr>
        <w:t xml:space="preserve"> </w:t>
      </w:r>
      <w:r w:rsidR="00F14E8E">
        <w:rPr>
          <w:bCs/>
        </w:rPr>
        <w:t>that</w:t>
      </w:r>
      <w:r w:rsidRPr="002370D3">
        <w:rPr>
          <w:bCs/>
        </w:rPr>
        <w:t xml:space="preserve"> may require councils’ commitments to future outcome payments. </w:t>
      </w:r>
      <w:r w:rsidR="0088438F">
        <w:rPr>
          <w:bCs/>
        </w:rPr>
        <w:t xml:space="preserve">Therefore, they </w:t>
      </w:r>
      <w:r w:rsidRPr="002370D3">
        <w:rPr>
          <w:bCs/>
        </w:rPr>
        <w:t xml:space="preserve">often resort to use of </w:t>
      </w:r>
      <w:r w:rsidR="00B57BA0">
        <w:rPr>
          <w:bCs/>
        </w:rPr>
        <w:t>FFS</w:t>
      </w:r>
      <w:r w:rsidR="00603E0E">
        <w:rPr>
          <w:bCs/>
        </w:rPr>
        <w:t xml:space="preserve"> </w:t>
      </w:r>
      <w:r w:rsidRPr="002370D3">
        <w:rPr>
          <w:bCs/>
        </w:rPr>
        <w:t xml:space="preserve">as </w:t>
      </w:r>
      <w:r w:rsidR="00B67819">
        <w:rPr>
          <w:bCs/>
        </w:rPr>
        <w:t>they know exactly how much they are going to pay for the servic</w:t>
      </w:r>
      <w:r w:rsidR="003A08FF">
        <w:rPr>
          <w:bCs/>
        </w:rPr>
        <w:t>e</w:t>
      </w:r>
      <w:r w:rsidRPr="002370D3">
        <w:rPr>
          <w:bCs/>
        </w:rPr>
        <w:t>.</w:t>
      </w:r>
      <w:r w:rsidR="00AC01E5">
        <w:rPr>
          <w:bCs/>
        </w:rPr>
        <w:t xml:space="preserve"> </w:t>
      </w:r>
    </w:p>
    <w:p w14:paraId="161FF105" w14:textId="49C08415" w:rsidR="006E6856" w:rsidRPr="000B6D8E" w:rsidRDefault="006E6856" w:rsidP="006E6856">
      <w:pPr>
        <w:pStyle w:val="EcorysTableBullet02"/>
        <w:numPr>
          <w:ilvl w:val="0"/>
          <w:numId w:val="0"/>
        </w:numPr>
        <w:spacing w:after="20" w:line="300" w:lineRule="auto"/>
        <w:jc w:val="both"/>
      </w:pPr>
      <w:r>
        <w:t xml:space="preserve">The </w:t>
      </w:r>
      <w:r w:rsidR="00F14E8E">
        <w:t>evidence from the</w:t>
      </w:r>
      <w:r>
        <w:t xml:space="preserve"> REA and </w:t>
      </w:r>
      <w:r w:rsidR="000172D3">
        <w:t>primary research</w:t>
      </w:r>
      <w:r>
        <w:t xml:space="preserve"> shows that legal factors </w:t>
      </w:r>
      <w:r w:rsidR="00F14E8E">
        <w:t>clearly define</w:t>
      </w:r>
      <w:r>
        <w:t xml:space="preserve"> public procurement processes and mechanism</w:t>
      </w:r>
      <w:r w:rsidR="00F14E8E">
        <w:t>s</w:t>
      </w:r>
      <w:r w:rsidR="00690B43">
        <w:t>.</w:t>
      </w:r>
      <w:r w:rsidR="008C6E63">
        <w:t xml:space="preserve"> </w:t>
      </w:r>
      <w:r w:rsidR="00690B43">
        <w:t xml:space="preserve">The </w:t>
      </w:r>
      <w:r w:rsidR="008C6E63">
        <w:t>revie</w:t>
      </w:r>
      <w:r w:rsidR="00FA2275">
        <w:t>wed l</w:t>
      </w:r>
      <w:r w:rsidR="00690B43">
        <w:t>iterature</w:t>
      </w:r>
      <w:r w:rsidR="00FA2275">
        <w:t xml:space="preserve"> discussed</w:t>
      </w:r>
      <w:r w:rsidR="00690B43">
        <w:t xml:space="preserve"> </w:t>
      </w:r>
      <w:r w:rsidR="0089576D">
        <w:t>the statutory duties of LAs to deliver specific services, the roles and responsibilities of different commissioning organisations</w:t>
      </w:r>
      <w:r w:rsidR="007C1ECB">
        <w:t xml:space="preserve">, and </w:t>
      </w:r>
      <w:r w:rsidR="00310F6C">
        <w:t>the public procurement legislation, including Social Value</w:t>
      </w:r>
      <w:r w:rsidR="00B814A6">
        <w:t xml:space="preserve"> Act.</w:t>
      </w:r>
      <w:r>
        <w:t xml:space="preserve"> </w:t>
      </w:r>
      <w:r w:rsidR="1AE9E16A">
        <w:t>However,</w:t>
      </w:r>
      <w:r>
        <w:t xml:space="preserve"> </w:t>
      </w:r>
      <w:r w:rsidR="0DD349BD">
        <w:t>the evidence</w:t>
      </w:r>
      <w:r w:rsidR="009A3207">
        <w:t xml:space="preserve"> of </w:t>
      </w:r>
      <w:r w:rsidR="00E91F82">
        <w:t xml:space="preserve">that </w:t>
      </w:r>
      <w:r w:rsidR="00B814A6">
        <w:t>th</w:t>
      </w:r>
      <w:r w:rsidR="00E91F82">
        <w:t>e</w:t>
      </w:r>
      <w:r w:rsidR="00B814A6">
        <w:t xml:space="preserve">se </w:t>
      </w:r>
      <w:r w:rsidR="1A70C870">
        <w:t>factors impact</w:t>
      </w:r>
      <w:r w:rsidR="005C65D3">
        <w:t xml:space="preserve"> commissioners’</w:t>
      </w:r>
      <w:r>
        <w:t xml:space="preserve"> decision-making </w:t>
      </w:r>
      <w:r w:rsidR="003D5FE6">
        <w:t xml:space="preserve">about contracting approaches </w:t>
      </w:r>
      <w:r>
        <w:t xml:space="preserve">is limited. </w:t>
      </w:r>
      <w:r w:rsidR="0062794D">
        <w:t xml:space="preserve">Some </w:t>
      </w:r>
      <w:r w:rsidR="000172D3">
        <w:t>research</w:t>
      </w:r>
      <w:r w:rsidR="00EC5001">
        <w:t xml:space="preserve"> participant</w:t>
      </w:r>
      <w:r w:rsidR="000172D3">
        <w:t>s</w:t>
      </w:r>
      <w:r w:rsidR="001C3736">
        <w:t xml:space="preserve"> </w:t>
      </w:r>
      <w:r w:rsidR="00F23BC9">
        <w:t>perceived the</w:t>
      </w:r>
      <w:r w:rsidR="00B82B84">
        <w:t xml:space="preserve"> </w:t>
      </w:r>
      <w:r w:rsidR="00CB28A8">
        <w:t>public procurement</w:t>
      </w:r>
      <w:r w:rsidR="00B82B84">
        <w:t xml:space="preserve"> legislation</w:t>
      </w:r>
      <w:r w:rsidR="00CB28A8">
        <w:t xml:space="preserve"> </w:t>
      </w:r>
      <w:r w:rsidR="00F23BC9">
        <w:t>as overly</w:t>
      </w:r>
      <w:r w:rsidR="00285644">
        <w:t xml:space="preserve"> complex</w:t>
      </w:r>
      <w:r w:rsidR="004F7E8D">
        <w:t xml:space="preserve">, </w:t>
      </w:r>
      <w:r w:rsidR="7CD055E9">
        <w:t>lengthy,</w:t>
      </w:r>
      <w:r w:rsidR="004F7E8D">
        <w:t xml:space="preserve"> and </w:t>
      </w:r>
      <w:r w:rsidR="006C451C">
        <w:t>restrictive</w:t>
      </w:r>
      <w:r w:rsidR="003675AC">
        <w:t xml:space="preserve"> </w:t>
      </w:r>
      <w:r w:rsidR="00982234">
        <w:t xml:space="preserve">with some </w:t>
      </w:r>
      <w:r w:rsidR="003675AC">
        <w:t>high</w:t>
      </w:r>
      <w:r w:rsidR="00982234">
        <w:t xml:space="preserve">lighting </w:t>
      </w:r>
      <w:r w:rsidR="00307B73">
        <w:t xml:space="preserve">the </w:t>
      </w:r>
      <w:r w:rsidR="000B6D8E">
        <w:t xml:space="preserve">longer </w:t>
      </w:r>
      <w:r w:rsidR="00307B73">
        <w:t xml:space="preserve">timescales for setting up more innovative contracting types, compared </w:t>
      </w:r>
      <w:r w:rsidR="00E06396">
        <w:t xml:space="preserve">to </w:t>
      </w:r>
      <w:r w:rsidR="00417B99">
        <w:t>FFS models</w:t>
      </w:r>
      <w:r w:rsidR="0E8E94AF">
        <w:t xml:space="preserve">. </w:t>
      </w:r>
    </w:p>
    <w:p w14:paraId="15D42B6D" w14:textId="07F50697" w:rsidR="00325D0C" w:rsidRDefault="00325D0C" w:rsidP="00325D0C">
      <w:pPr>
        <w:pStyle w:val="EcorysSectionLevel02"/>
      </w:pPr>
      <w:bookmarkStart w:id="52" w:name="_Toc167437672"/>
      <w:r>
        <w:t>Environmental factors</w:t>
      </w:r>
      <w:bookmarkEnd w:id="52"/>
    </w:p>
    <w:p w14:paraId="7BF3953C" w14:textId="77777777" w:rsidR="002F714A" w:rsidRDefault="002F714A" w:rsidP="002D2429">
      <w:pPr>
        <w:pStyle w:val="EcorysBody"/>
      </w:pPr>
      <w:r>
        <w:t xml:space="preserve">The following section explores the influence of environmental factors on decision-making, including an assessment of both elements relating to the physical environment, such as climate and geographical location, and environmental protection requirements. </w:t>
      </w:r>
    </w:p>
    <w:p w14:paraId="447015E6" w14:textId="7E72FD86" w:rsidR="002F714A" w:rsidRDefault="002F714A" w:rsidP="002D2429">
      <w:pPr>
        <w:pStyle w:val="EcorysBody"/>
      </w:pPr>
      <w:r>
        <w:t xml:space="preserve">The analysis of </w:t>
      </w:r>
      <w:r w:rsidR="000271C6">
        <w:t>qualitative interviews</w:t>
      </w:r>
      <w:r>
        <w:t xml:space="preserve"> and REA shortlisted documents suggests that</w:t>
      </w:r>
      <w:r w:rsidR="00857FB9">
        <w:t>, at the time of reporting,</w:t>
      </w:r>
      <w:r>
        <w:t xml:space="preserve"> environmental factors do not play a significant role in shaping local government commissioning decisions. Going forward, more research across a broader sample</w:t>
      </w:r>
      <w:r w:rsidR="000172D3">
        <w:t xml:space="preserve"> of LAs</w:t>
      </w:r>
      <w:r>
        <w:t xml:space="preserve"> is needed to verify whether environmental policies and corporate social responsibility standards are taken into consideration, and whether there is any variance by sector and contracting model.</w:t>
      </w:r>
    </w:p>
    <w:p w14:paraId="28243D87" w14:textId="4233979A" w:rsidR="00325D0C" w:rsidRDefault="00325D0C" w:rsidP="00325D0C">
      <w:pPr>
        <w:pStyle w:val="EcorysSectionLevel02"/>
      </w:pPr>
      <w:bookmarkStart w:id="53" w:name="_Toc167437673"/>
      <w:r>
        <w:t>Other factors</w:t>
      </w:r>
      <w:bookmarkEnd w:id="53"/>
    </w:p>
    <w:p w14:paraId="3217381F" w14:textId="4C3B76B3" w:rsidR="006E6856" w:rsidRDefault="006E6856" w:rsidP="003A08FF">
      <w:pPr>
        <w:pStyle w:val="EcorysBody"/>
      </w:pPr>
      <w:r>
        <w:t>In addition to the elements mentioned in the previous sections, we identified further contributing factors to commissioner decision-making in the selected literature</w:t>
      </w:r>
      <w:r w:rsidR="00350341">
        <w:t xml:space="preserve"> and from the </w:t>
      </w:r>
      <w:r w:rsidR="000172D3">
        <w:t>primary research</w:t>
      </w:r>
      <w:r>
        <w:t xml:space="preserve">. Specifically, </w:t>
      </w:r>
      <w:r w:rsidR="00350341">
        <w:t>our analysis identified</w:t>
      </w:r>
      <w:r>
        <w:t xml:space="preserve"> the influence of local government capacity, effective leadership, and use of research</w:t>
      </w:r>
      <w:r w:rsidR="6E3FD5D6">
        <w:t xml:space="preserve">. </w:t>
      </w:r>
    </w:p>
    <w:p w14:paraId="3FD0C0D9" w14:textId="4F453889" w:rsidR="006E6856" w:rsidRDefault="006E6856" w:rsidP="6002C6A8">
      <w:pPr>
        <w:pStyle w:val="EcorysTableBullet02"/>
        <w:numPr>
          <w:ilvl w:val="0"/>
          <w:numId w:val="0"/>
        </w:numPr>
        <w:spacing w:after="20" w:line="300" w:lineRule="auto"/>
        <w:jc w:val="both"/>
        <w:rPr>
          <w:b/>
          <w:bCs/>
        </w:rPr>
      </w:pPr>
      <w:bookmarkStart w:id="54" w:name="_Int_E2I5lidW"/>
      <w:r>
        <w:t>Various studies</w:t>
      </w:r>
      <w:bookmarkEnd w:id="54"/>
      <w:r>
        <w:t xml:space="preserve"> </w:t>
      </w:r>
      <w:r w:rsidR="00A41A4D">
        <w:t>reviewed</w:t>
      </w:r>
      <w:r>
        <w:t xml:space="preserve"> suggest that </w:t>
      </w:r>
      <w:r w:rsidRPr="6002C6A8">
        <w:rPr>
          <w:b/>
          <w:bCs/>
        </w:rPr>
        <w:t>provider involvement and co-production</w:t>
      </w:r>
      <w:r>
        <w:t xml:space="preserve"> influence commissioner decision-making. For instance, a recent report of The National Lottery Community Fund-funded HeadStart partnerships addressing young people’s mental health suggested that the active engagement of commissioners in local education forums contributed to building trusting relationships between schools and the local authority (</w:t>
      </w:r>
      <w:r w:rsidR="00203CAD">
        <w:t>The National Lottery Community Fund</w:t>
      </w:r>
      <w:r>
        <w:t xml:space="preserve"> and National Children’s Bureau 2022). A case study (conducted as part of the CBO evaluation) assessing mental health employment support in Staffordshire C</w:t>
      </w:r>
      <w:r w:rsidR="00E71386">
        <w:t>oun</w:t>
      </w:r>
      <w:r>
        <w:t>ty Council found that co-</w:t>
      </w:r>
      <w:r>
        <w:lastRenderedPageBreak/>
        <w:t xml:space="preserve">production techniques </w:t>
      </w:r>
      <w:bookmarkStart w:id="55" w:name="_Int_ZbdHcJnz"/>
      <w:r>
        <w:t>were helpful in understanding</w:t>
      </w:r>
      <w:bookmarkEnd w:id="55"/>
      <w:r>
        <w:t xml:space="preserve"> and overcoming the concerns of users and providers with respect to the introduction of employment advisers in local mental health professional teams (ATQ Consultants and Ecorys 2019). However, the literature suggests that </w:t>
      </w:r>
      <w:r w:rsidRPr="6002C6A8">
        <w:rPr>
          <w:b/>
          <w:bCs/>
        </w:rPr>
        <w:t>reduced capacity</w:t>
      </w:r>
      <w:r>
        <w:t xml:space="preserve"> originating from reduced budgets</w:t>
      </w:r>
      <w:r w:rsidRPr="6002C6A8">
        <w:rPr>
          <w:b/>
          <w:bCs/>
        </w:rPr>
        <w:t xml:space="preserve"> and team sizes restrict the scope for close engagement between stakeholders</w:t>
      </w:r>
      <w:r>
        <w:t xml:space="preserve"> (Thomson and Smith 2019).</w:t>
      </w:r>
    </w:p>
    <w:p w14:paraId="46831887" w14:textId="7295E9E6" w:rsidR="006E6856" w:rsidRPr="00D138A9" w:rsidRDefault="006E6856" w:rsidP="006E6856">
      <w:pPr>
        <w:pStyle w:val="EcorysTableBullet02"/>
        <w:numPr>
          <w:ilvl w:val="0"/>
          <w:numId w:val="0"/>
        </w:numPr>
        <w:spacing w:after="20" w:line="300" w:lineRule="auto"/>
        <w:jc w:val="both"/>
        <w:rPr>
          <w:b/>
          <w:bCs/>
          <w:color w:val="7030A0"/>
        </w:rPr>
      </w:pPr>
      <w:r>
        <w:t xml:space="preserve">The commissioners taking part in </w:t>
      </w:r>
      <w:r w:rsidR="000172D3">
        <w:t xml:space="preserve">our research </w:t>
      </w:r>
      <w:r>
        <w:t xml:space="preserve">further argued that reduced capacity in their teams and within the LAs </w:t>
      </w:r>
      <w:bookmarkStart w:id="56" w:name="_Int_OQozZ7qd"/>
      <w:r>
        <w:t>ultimately leads</w:t>
      </w:r>
      <w:bookmarkEnd w:id="56"/>
      <w:r>
        <w:t xml:space="preserve"> to</w:t>
      </w:r>
      <w:r w:rsidR="007F58D3">
        <w:t xml:space="preserve"> them</w:t>
      </w:r>
      <w:r>
        <w:t xml:space="preserve"> searching for the </w:t>
      </w:r>
      <w:r w:rsidRPr="6002C6A8">
        <w:rPr>
          <w:b/>
          <w:bCs/>
        </w:rPr>
        <w:t>most efficient solutions for commissioning</w:t>
      </w:r>
      <w:r>
        <w:t xml:space="preserve">. This means that commissioners often choose </w:t>
      </w:r>
      <w:r w:rsidR="007F58D3">
        <w:t xml:space="preserve">contracting </w:t>
      </w:r>
      <w:r>
        <w:t>approaches which require minimal resources, and</w:t>
      </w:r>
      <w:r w:rsidR="007F58D3">
        <w:t xml:space="preserve"> which</w:t>
      </w:r>
      <w:r>
        <w:t xml:space="preserve"> they are familiar with or </w:t>
      </w:r>
      <w:r w:rsidR="005A0DA9">
        <w:t xml:space="preserve">have </w:t>
      </w:r>
      <w:r>
        <w:t>used before.</w:t>
      </w:r>
      <w:r w:rsidR="005A0DA9">
        <w:t xml:space="preserve"> Commissioners explained that f</w:t>
      </w:r>
      <w:r>
        <w:t xml:space="preserve">or many LAs, </w:t>
      </w:r>
      <w:r w:rsidR="005A0DA9">
        <w:t>fee-for-service</w:t>
      </w:r>
      <w:r>
        <w:t xml:space="preserve"> is, thus, the default commissioning approach as </w:t>
      </w:r>
      <w:r w:rsidR="00DB5480">
        <w:t xml:space="preserve">it is </w:t>
      </w:r>
      <w:r>
        <w:t xml:space="preserve">a method most commissioners are </w:t>
      </w:r>
      <w:r w:rsidR="00DB5480">
        <w:t>aware of and comfortable with using</w:t>
      </w:r>
      <w:r w:rsidR="397F6D8A">
        <w:t xml:space="preserve">. </w:t>
      </w:r>
      <w:r w:rsidR="00C84B0A">
        <w:t>Howeve</w:t>
      </w:r>
      <w:r w:rsidR="00D55084">
        <w:t xml:space="preserve">r, some </w:t>
      </w:r>
      <w:r w:rsidR="00080DC9">
        <w:t>commissioner</w:t>
      </w:r>
      <w:r w:rsidR="00D55084">
        <w:t>s</w:t>
      </w:r>
      <w:r w:rsidR="00080DC9">
        <w:t xml:space="preserve"> </w:t>
      </w:r>
      <w:r w:rsidR="00093D9F">
        <w:t xml:space="preserve">that were interviewed, </w:t>
      </w:r>
      <w:r w:rsidR="00080DC9">
        <w:t>who</w:t>
      </w:r>
      <w:r>
        <w:t xml:space="preserve"> </w:t>
      </w:r>
      <w:r w:rsidR="00080DC9">
        <w:t xml:space="preserve">used </w:t>
      </w:r>
      <w:r w:rsidR="00D55084">
        <w:t xml:space="preserve">a </w:t>
      </w:r>
      <w:r w:rsidR="61269A29">
        <w:t>PBR (Payments by Results)</w:t>
      </w:r>
      <w:r w:rsidR="00080DC9">
        <w:t xml:space="preserve"> or </w:t>
      </w:r>
      <w:r w:rsidR="00D55084">
        <w:t>a SIB</w:t>
      </w:r>
      <w:r w:rsidR="00093D9F">
        <w:t>,</w:t>
      </w:r>
      <w:r>
        <w:t xml:space="preserve"> </w:t>
      </w:r>
      <w:r w:rsidR="000A3FD5">
        <w:t>f</w:t>
      </w:r>
      <w:r w:rsidR="000D72A7">
        <w:t>elt that despite</w:t>
      </w:r>
      <w:r w:rsidR="001024DC">
        <w:t xml:space="preserve"> the more complex set up</w:t>
      </w:r>
      <w:r w:rsidR="000A3FD5">
        <w:t xml:space="preserve">, these approaches led to more </w:t>
      </w:r>
      <w:r>
        <w:t xml:space="preserve">efficient </w:t>
      </w:r>
      <w:r w:rsidR="00213A6D">
        <w:t>and higher quality</w:t>
      </w:r>
      <w:r w:rsidR="007A6D9F">
        <w:t xml:space="preserve"> delivery of ser</w:t>
      </w:r>
      <w:r w:rsidR="00213A6D">
        <w:t>vices.</w:t>
      </w:r>
      <w:r>
        <w:t xml:space="preserve"> </w:t>
      </w:r>
    </w:p>
    <w:p w14:paraId="2E50C8C3" w14:textId="68277E0A" w:rsidR="006E6856" w:rsidRDefault="006E6856" w:rsidP="006E6856">
      <w:pPr>
        <w:pStyle w:val="EcorysTableBullet02"/>
        <w:numPr>
          <w:ilvl w:val="0"/>
          <w:numId w:val="0"/>
        </w:numPr>
        <w:spacing w:after="20" w:line="300" w:lineRule="auto"/>
        <w:jc w:val="both"/>
      </w:pPr>
      <w:r>
        <w:t xml:space="preserve">Two studies analysed as part </w:t>
      </w:r>
      <w:r w:rsidR="0009241D">
        <w:t>of the REA</w:t>
      </w:r>
      <w:r>
        <w:t xml:space="preserve"> suggest that </w:t>
      </w:r>
      <w:r w:rsidRPr="6002C6A8">
        <w:rPr>
          <w:b/>
          <w:bCs/>
        </w:rPr>
        <w:t>evidence informs commissioner decision-making</w:t>
      </w:r>
      <w:r>
        <w:t xml:space="preserve"> to a small extent (McGee et al. 2022; Hamblin 2020). Hamblin (2020) reports that according to a study of English local </w:t>
      </w:r>
      <w:r w:rsidRPr="6002C6A8">
        <w:rPr>
          <w:rStyle w:val="EcorysBodyChar"/>
        </w:rPr>
        <w:t xml:space="preserve">authority commissioners of Technology Enabled Care Services (TECS), only one third of respondents mentioned </w:t>
      </w:r>
      <w:r>
        <w:t xml:space="preserve">research as an influencing factor for their decisions. Similarly, through a qualitative study of using health research in local authorities, McGee et al. (2022) concur that research and evaluation are not prioritised by local health commissioners </w:t>
      </w:r>
      <w:bookmarkStart w:id="57" w:name="_Int_YjDBo83I"/>
      <w:r>
        <w:t>as a result of</w:t>
      </w:r>
      <w:bookmarkEnd w:id="57"/>
      <w:r>
        <w:t xml:space="preserve"> time constraints, budget cuts, and the absence of localised data. Nevertheless, beyond these barriers, McGee et al. (2022) identify that commissioners are interested in principle in the closer integration of research into commissioning practice, indicating a window of opportunity to embed these functions in local government structures. Additionally, the commissioners</w:t>
      </w:r>
      <w:r w:rsidR="001E1131">
        <w:t xml:space="preserve"> in one LA</w:t>
      </w:r>
      <w:r>
        <w:t xml:space="preserve"> shared that they conducted an independent appraisal including cost benefit analysis of different commissioning models to transform their homelessness services. Their decision</w:t>
      </w:r>
      <w:r w:rsidR="00282831">
        <w:t xml:space="preserve"> to </w:t>
      </w:r>
      <w:r w:rsidR="007A0DBC">
        <w:t xml:space="preserve">an Alliance contract </w:t>
      </w:r>
      <w:r w:rsidR="009E0029">
        <w:t>w</w:t>
      </w:r>
      <w:r w:rsidR="007A0DBC">
        <w:t>as</w:t>
      </w:r>
      <w:r>
        <w:t xml:space="preserve"> heavily informed by this assessment</w:t>
      </w:r>
      <w:r w:rsidR="0B721931">
        <w:t xml:space="preserve">. </w:t>
      </w:r>
      <w:r w:rsidR="00C84B0A">
        <w:t xml:space="preserve">In some cases, commissioners mentioned they used </w:t>
      </w:r>
      <w:r w:rsidR="00C84B0A" w:rsidRPr="6002C6A8">
        <w:rPr>
          <w:b/>
          <w:bCs/>
        </w:rPr>
        <w:t>anecdotal evidence and shared learnings from other LAs</w:t>
      </w:r>
      <w:r w:rsidR="00C84B0A">
        <w:t xml:space="preserve"> and adopted </w:t>
      </w:r>
      <w:r w:rsidR="00185D36">
        <w:t xml:space="preserve">approaches </w:t>
      </w:r>
      <w:r w:rsidR="00C84B0A">
        <w:t>successfully used in those LAs to deliver similar services</w:t>
      </w:r>
      <w:r w:rsidR="00185D36">
        <w:t>.</w:t>
      </w:r>
    </w:p>
    <w:p w14:paraId="6C32B2E2" w14:textId="0A210B76" w:rsidR="006E6856" w:rsidRDefault="006E6856" w:rsidP="6002C6A8">
      <w:pPr>
        <w:pStyle w:val="EcorysTableBullet02"/>
        <w:numPr>
          <w:ilvl w:val="0"/>
          <w:numId w:val="0"/>
        </w:numPr>
        <w:spacing w:after="20" w:line="300" w:lineRule="auto"/>
        <w:jc w:val="both"/>
        <w:rPr>
          <w:b/>
          <w:bCs/>
        </w:rPr>
      </w:pPr>
      <w:r>
        <w:t>Lastly,</w:t>
      </w:r>
      <w:r w:rsidRPr="6002C6A8">
        <w:rPr>
          <w:b/>
          <w:bCs/>
        </w:rPr>
        <w:t xml:space="preserve"> effective leadership</w:t>
      </w:r>
      <w:r>
        <w:t xml:space="preserve"> was identified in some of the reviewed literature as one of the enablers allowing councils to adopt new commissioning approaches (Robertson and Ewbank, 2020; </w:t>
      </w:r>
      <w:proofErr w:type="spellStart"/>
      <w:r>
        <w:t>Checkland</w:t>
      </w:r>
      <w:proofErr w:type="spellEnd"/>
      <w:r>
        <w:t xml:space="preserve"> et al., 2019). Robertson and Ewbank’s (2020) case study from South Tyneside emphasised the importance of role-modelling by senior leaders. However, the authors also note that to sustain the approach it is crucial that it is supported by everyone rather than key individuals only. </w:t>
      </w:r>
      <w:r w:rsidR="007A2680">
        <w:t>Local Government Association</w:t>
      </w:r>
      <w:r w:rsidR="005149D4">
        <w:t>,</w:t>
      </w:r>
      <w:r>
        <w:t xml:space="preserve"> </w:t>
      </w:r>
      <w:r w:rsidR="007A2680">
        <w:t xml:space="preserve">in their Integrated Commissioning for Better Outcomes: a Commissioning Framework </w:t>
      </w:r>
      <w:r>
        <w:t>(20</w:t>
      </w:r>
      <w:r w:rsidR="007A2680">
        <w:t>18</w:t>
      </w:r>
      <w:r>
        <w:t>)</w:t>
      </w:r>
      <w:r w:rsidR="005149D4">
        <w:t>,</w:t>
      </w:r>
      <w:r>
        <w:t xml:space="preserve"> also highlight the need for strong and collective leadership between</w:t>
      </w:r>
      <w:r w:rsidR="008C27D8">
        <w:t xml:space="preserve"> the</w:t>
      </w:r>
      <w:r>
        <w:t xml:space="preserve"> NHS and LAs, especially in the context of building foundations for integrated commissioning as well as raising ambitions through appropriate risk-taking.</w:t>
      </w:r>
      <w:r w:rsidR="004C1C38">
        <w:t xml:space="preserve"> This was also a key theme identified in the CBO evaluation, which highlighted that </w:t>
      </w:r>
      <w:r w:rsidR="004C1C38" w:rsidRPr="6002C6A8">
        <w:rPr>
          <w:i/>
          <w:iCs/>
        </w:rPr>
        <w:t>“the development of the projects required strong, char</w:t>
      </w:r>
      <w:r w:rsidR="007425E1" w:rsidRPr="6002C6A8">
        <w:rPr>
          <w:i/>
          <w:iCs/>
        </w:rPr>
        <w:t xml:space="preserve">ismatic leadership, </w:t>
      </w:r>
      <w:r w:rsidR="4150674E" w:rsidRPr="6002C6A8">
        <w:rPr>
          <w:i/>
          <w:iCs/>
        </w:rPr>
        <w:t>commitment,</w:t>
      </w:r>
      <w:r w:rsidR="007425E1" w:rsidRPr="6002C6A8">
        <w:rPr>
          <w:i/>
          <w:iCs/>
        </w:rPr>
        <w:t xml:space="preserve"> and willingness to ‘go the extra mile’” </w:t>
      </w:r>
      <w:r w:rsidR="007425E1">
        <w:t>(Ronicle, Stanworth and Wooldridge, 2022, p13).</w:t>
      </w:r>
    </w:p>
    <w:p w14:paraId="241408D5" w14:textId="65B8A8B7" w:rsidR="00325D0C" w:rsidRPr="006E6856" w:rsidRDefault="006E6856" w:rsidP="006E6856">
      <w:pPr>
        <w:pStyle w:val="EcorysTableBullet02"/>
        <w:numPr>
          <w:ilvl w:val="0"/>
          <w:numId w:val="0"/>
        </w:numPr>
        <w:spacing w:after="20" w:line="300" w:lineRule="auto"/>
        <w:jc w:val="both"/>
      </w:pPr>
      <w:r>
        <w:t xml:space="preserve">The reviewed literature identifies various barriers to effective commissioning, such as insufficient local government capacity and the lack of localised data sources. However, the evidence from the </w:t>
      </w:r>
      <w:r w:rsidR="000172D3">
        <w:t>commissioner</w:t>
      </w:r>
      <w:r>
        <w:t xml:space="preserve"> workshops suggests that limited resources often lead commissioners to seeking most resource-effective and efficient commissioning approaches, which is often but not </w:t>
      </w:r>
      <w:r w:rsidR="00A0691C">
        <w:t>exclusively perceived to be</w:t>
      </w:r>
      <w:r>
        <w:t xml:space="preserve"> the </w:t>
      </w:r>
      <w:r w:rsidR="00931180">
        <w:t>fee-for-service</w:t>
      </w:r>
      <w:r>
        <w:t xml:space="preserve"> model. </w:t>
      </w:r>
      <w:r w:rsidR="009E0B91">
        <w:t>The participating commissioners</w:t>
      </w:r>
      <w:r w:rsidR="00C15543">
        <w:t xml:space="preserve"> further highlighted</w:t>
      </w:r>
      <w:r>
        <w:t xml:space="preserve"> </w:t>
      </w:r>
      <w:r w:rsidR="00C15543">
        <w:t xml:space="preserve">the crucial role of shared learning and knowledge disseminating around successful use of different contracting approaches. </w:t>
      </w:r>
      <w:r w:rsidR="009E0B91">
        <w:t xml:space="preserve">This </w:t>
      </w:r>
      <w:r w:rsidR="0033336C">
        <w:t>can facilitate</w:t>
      </w:r>
      <w:r w:rsidR="009E0B91">
        <w:t xml:space="preserve"> </w:t>
      </w:r>
      <w:r w:rsidR="00620C5D">
        <w:t>commissioners</w:t>
      </w:r>
      <w:r w:rsidR="0033336C">
        <w:t xml:space="preserve"> to consider</w:t>
      </w:r>
      <w:r>
        <w:t xml:space="preserve"> adopting contracting approaches</w:t>
      </w:r>
      <w:r w:rsidR="0033336C">
        <w:t xml:space="preserve"> which have been</w:t>
      </w:r>
      <w:r w:rsidR="003A08FF">
        <w:t xml:space="preserve"> </w:t>
      </w:r>
      <w:r w:rsidR="0033336C">
        <w:t>succes</w:t>
      </w:r>
      <w:r>
        <w:t>sful in other LAs for</w:t>
      </w:r>
      <w:r w:rsidR="0033336C">
        <w:t xml:space="preserve"> the</w:t>
      </w:r>
      <w:r>
        <w:t xml:space="preserve"> procurement of similar services.</w:t>
      </w:r>
      <w:bookmarkEnd w:id="24"/>
      <w:r>
        <w:br w:type="page"/>
      </w:r>
    </w:p>
    <w:p w14:paraId="116EB767" w14:textId="73140682" w:rsidR="00325D0C" w:rsidRDefault="006E6856" w:rsidP="00325D0C">
      <w:pPr>
        <w:pStyle w:val="Heading1"/>
      </w:pPr>
      <w:bookmarkStart w:id="58" w:name="_Toc167437674"/>
      <w:r>
        <w:lastRenderedPageBreak/>
        <w:t>If, h</w:t>
      </w:r>
      <w:r w:rsidR="00325D0C">
        <w:t>ow, when, and why these factors affect choice of contracting approach.</w:t>
      </w:r>
      <w:bookmarkEnd w:id="58"/>
    </w:p>
    <w:p w14:paraId="20FE68BD" w14:textId="77777777" w:rsidR="006B4AE8" w:rsidRDefault="006B4AE8">
      <w:pPr>
        <w:pStyle w:val="EcorysBody"/>
        <w:spacing w:after="240"/>
        <w:jc w:val="both"/>
      </w:pPr>
    </w:p>
    <w:p w14:paraId="0D8C923B" w14:textId="300036C5" w:rsidR="006E6856" w:rsidRDefault="006E6856" w:rsidP="006B4AE8">
      <w:pPr>
        <w:pStyle w:val="EcorysBody"/>
        <w:spacing w:after="240"/>
        <w:jc w:val="both"/>
      </w:pPr>
      <w:r>
        <w:t xml:space="preserve">This section </w:t>
      </w:r>
      <w:r w:rsidR="00C03A82">
        <w:t>discusses</w:t>
      </w:r>
      <w:r>
        <w:t xml:space="preserve"> </w:t>
      </w:r>
      <w:r w:rsidR="00C03A82">
        <w:t>the ways in which the</w:t>
      </w:r>
      <w:r>
        <w:t xml:space="preserve"> PESTLE factors outlined in the previous section influence the type of contracting approach commissioners opt for. </w:t>
      </w:r>
      <w:r w:rsidR="00A26A76">
        <w:t>This section looks specifically at four contracting approaches; Social Impact Bonds</w:t>
      </w:r>
      <w:r w:rsidR="008E7EF0">
        <w:t xml:space="preserve"> (SIBs)</w:t>
      </w:r>
      <w:r w:rsidR="00A26A76">
        <w:t>, Payment by Results</w:t>
      </w:r>
      <w:r w:rsidR="008E7EF0">
        <w:t xml:space="preserve"> (PbR)</w:t>
      </w:r>
      <w:r w:rsidR="00A26A76">
        <w:t>, Alliance</w:t>
      </w:r>
      <w:r w:rsidR="0033336C">
        <w:t xml:space="preserve"> contracting</w:t>
      </w:r>
      <w:r w:rsidR="00A26A76">
        <w:t>, and Fee-for-Service</w:t>
      </w:r>
      <w:r w:rsidR="008E7EF0">
        <w:t xml:space="preserve"> (FFS)</w:t>
      </w:r>
      <w:r w:rsidR="00A26A76">
        <w:t xml:space="preserve"> (see methodology for definitions).</w:t>
      </w:r>
    </w:p>
    <w:p w14:paraId="64D28E3D" w14:textId="2172CACF" w:rsidR="006E6856" w:rsidRPr="0053688A" w:rsidRDefault="006E6856" w:rsidP="006E6856">
      <w:pPr>
        <w:pStyle w:val="EcorysBody"/>
        <w:jc w:val="both"/>
      </w:pPr>
      <w:r>
        <w:t xml:space="preserve">There are several potential reasons why a commissioner may choose a particular contracting approach, as identified in </w:t>
      </w:r>
      <w:r w:rsidR="00C157CA">
        <w:t>the previous section</w:t>
      </w:r>
      <w:r>
        <w:t xml:space="preserve">. </w:t>
      </w:r>
      <w:r w:rsidR="00B35398">
        <w:t xml:space="preserve">Our research questions began with the assumption that commissioners are confronted by, and need to navigate, </w:t>
      </w:r>
      <w:bookmarkStart w:id="59" w:name="_Int_CgENOURc"/>
      <w:r w:rsidR="00B35398">
        <w:t>a number of</w:t>
      </w:r>
      <w:bookmarkEnd w:id="59"/>
      <w:r w:rsidR="00B35398">
        <w:t xml:space="preserve"> factors that shape their decision of which contracting approach to use. </w:t>
      </w:r>
      <w:r w:rsidR="00C157CA">
        <w:t xml:space="preserve">While in some </w:t>
      </w:r>
      <w:r w:rsidR="000172D3">
        <w:t>cases in our primary research</w:t>
      </w:r>
      <w:r w:rsidR="00C157CA">
        <w:t xml:space="preserve">, commissioners’ decision to use a particular contracting approach was driven primarily by economic, </w:t>
      </w:r>
      <w:r w:rsidR="13A2D9E2">
        <w:t>political,</w:t>
      </w:r>
      <w:r w:rsidR="00C157CA">
        <w:t xml:space="preserve"> and sociological factors, </w:t>
      </w:r>
      <w:r w:rsidR="00B35398">
        <w:t xml:space="preserve">our primary research </w:t>
      </w:r>
      <w:r w:rsidR="00C157CA">
        <w:t xml:space="preserve">also </w:t>
      </w:r>
      <w:r w:rsidR="00B35398">
        <w:t xml:space="preserve">found that </w:t>
      </w:r>
      <w:r w:rsidR="00C157CA">
        <w:t>some</w:t>
      </w:r>
      <w:r w:rsidR="00B35398">
        <w:t xml:space="preserve"> commissioners </w:t>
      </w:r>
      <w:r w:rsidR="009867E5">
        <w:t>instead opted for a contracting approach that they were most familiar with</w:t>
      </w:r>
      <w:r w:rsidR="00C157CA">
        <w:t>, with few</w:t>
      </w:r>
      <w:r w:rsidR="009867E5">
        <w:t xml:space="preserve"> other</w:t>
      </w:r>
      <w:r w:rsidR="00C157CA">
        <w:t xml:space="preserve"> factors shaping this decision. </w:t>
      </w:r>
      <w:r w:rsidR="009867E5">
        <w:t>We discuss this in more detail below</w:t>
      </w:r>
      <w:r w:rsidR="00B35398">
        <w:t>.</w:t>
      </w:r>
    </w:p>
    <w:p w14:paraId="7CA7ABD3" w14:textId="77777777" w:rsidR="006E6856" w:rsidRDefault="006E6856" w:rsidP="006E6856">
      <w:pPr>
        <w:pStyle w:val="EcorysSectionLevel02"/>
      </w:pPr>
      <w:bookmarkStart w:id="60" w:name="_Toc167437675"/>
      <w:r>
        <w:t>Social Impact Bonds</w:t>
      </w:r>
      <w:bookmarkEnd w:id="60"/>
    </w:p>
    <w:p w14:paraId="4777AC8C" w14:textId="77777777" w:rsidR="006E6856" w:rsidRDefault="006E6856" w:rsidP="006E6856">
      <w:pPr>
        <w:pStyle w:val="EcorysBody"/>
        <w:jc w:val="both"/>
      </w:pPr>
      <w:r w:rsidRPr="6002C6A8">
        <w:rPr>
          <w:b/>
          <w:bCs/>
        </w:rPr>
        <w:t>Economic factors</w:t>
      </w:r>
      <w:r>
        <w:t xml:space="preserve"> were often the primary influence as to </w:t>
      </w:r>
      <w:bookmarkStart w:id="61" w:name="_Int_a6P5sCSI"/>
      <w:r>
        <w:t>whether or not</w:t>
      </w:r>
      <w:bookmarkEnd w:id="61"/>
      <w:r>
        <w:t xml:space="preserve"> Local Government commissioners would opt for a SIB. This could be seen as both positive and negative. </w:t>
      </w:r>
    </w:p>
    <w:p w14:paraId="55234A1B" w14:textId="7F6D4912" w:rsidR="006E6856" w:rsidRDefault="006E6856" w:rsidP="006E6856">
      <w:pPr>
        <w:pStyle w:val="EcorysBody"/>
        <w:jc w:val="both"/>
        <w:rPr>
          <w:rFonts w:cs="Arial"/>
        </w:rPr>
      </w:pPr>
      <w:r>
        <w:t xml:space="preserve">For example, in the REAs, the literature discussed the </w:t>
      </w:r>
      <w:r w:rsidRPr="6002C6A8">
        <w:rPr>
          <w:b/>
          <w:bCs/>
        </w:rPr>
        <w:t xml:space="preserve">upfront costs related </w:t>
      </w:r>
      <w:r w:rsidR="00216880" w:rsidRPr="6002C6A8">
        <w:rPr>
          <w:b/>
          <w:bCs/>
        </w:rPr>
        <w:t xml:space="preserve">to </w:t>
      </w:r>
      <w:r w:rsidRPr="6002C6A8">
        <w:rPr>
          <w:b/>
          <w:bCs/>
        </w:rPr>
        <w:t>SIB</w:t>
      </w:r>
      <w:r w:rsidR="00216880" w:rsidRPr="6002C6A8">
        <w:rPr>
          <w:b/>
          <w:bCs/>
        </w:rPr>
        <w:t xml:space="preserve"> development</w:t>
      </w:r>
      <w:r>
        <w:t xml:space="preserve"> as </w:t>
      </w:r>
      <w:r w:rsidR="00F065AC">
        <w:t xml:space="preserve">a </w:t>
      </w:r>
      <w:r>
        <w:t>barrier for commissioners both in terms of</w:t>
      </w:r>
      <w:r w:rsidR="0047663B">
        <w:t xml:space="preserve"> the</w:t>
      </w:r>
      <w:r>
        <w:t xml:space="preserve"> time and resource</w:t>
      </w:r>
      <w:r w:rsidR="0047663B">
        <w:t xml:space="preserve"> required </w:t>
      </w:r>
      <w:r w:rsidR="001C5E0B">
        <w:t>from commissioners to set up a SIB</w:t>
      </w:r>
      <w:r>
        <w:t xml:space="preserve"> </w:t>
      </w:r>
      <w:r w:rsidRPr="6002C6A8">
        <w:rPr>
          <w:rFonts w:cs="Arial"/>
        </w:rPr>
        <w:t>(Ronicle, Stanworth, and Hickman, 2019)</w:t>
      </w:r>
      <w:r>
        <w:t xml:space="preserve">. This was traced to a combination of issues including </w:t>
      </w:r>
      <w:proofErr w:type="spellStart"/>
      <w:r>
        <w:t>SIBs’</w:t>
      </w:r>
      <w:proofErr w:type="spellEnd"/>
      <w:r>
        <w:t xml:space="preserve"> complex financing structure, the limited number of replicable models </w:t>
      </w:r>
      <w:r w:rsidR="001C5E0B">
        <w:t>to use</w:t>
      </w:r>
      <w:r>
        <w:t>, and the multiple stakeholders involved</w:t>
      </w:r>
      <w:r w:rsidR="00B35398">
        <w:t xml:space="preserve"> such as commissioners, </w:t>
      </w:r>
      <w:r w:rsidR="003A08FF">
        <w:t>investors,</w:t>
      </w:r>
      <w:r w:rsidR="00B35398">
        <w:t xml:space="preserve"> and delivery providers</w:t>
      </w:r>
      <w:r>
        <w:t xml:space="preserve"> </w:t>
      </w:r>
      <w:r w:rsidRPr="6002C6A8">
        <w:rPr>
          <w:rFonts w:cs="Arial"/>
        </w:rPr>
        <w:t xml:space="preserve">(Hameed et al., 2021, Cools and </w:t>
      </w:r>
      <w:proofErr w:type="spellStart"/>
      <w:r w:rsidRPr="6002C6A8">
        <w:rPr>
          <w:rFonts w:cs="Arial"/>
        </w:rPr>
        <w:t>Oosterlynck</w:t>
      </w:r>
      <w:proofErr w:type="spellEnd"/>
      <w:r w:rsidRPr="6002C6A8">
        <w:rPr>
          <w:rFonts w:cs="Arial"/>
        </w:rPr>
        <w:t xml:space="preserve">, 2016). According to the evaluation of the CBO </w:t>
      </w:r>
      <w:r w:rsidR="00220E35" w:rsidRPr="6002C6A8">
        <w:rPr>
          <w:rFonts w:cs="Arial"/>
        </w:rPr>
        <w:t>Fund,</w:t>
      </w:r>
      <w:r w:rsidRPr="6002C6A8">
        <w:rPr>
          <w:rFonts w:cs="Arial"/>
        </w:rPr>
        <w:t xml:space="preserve"> the SIBs reviewed took between two and three and a half years to develop, which was longer than expected (Ronicle, Stanworth, and Hickman, 2019). This was </w:t>
      </w:r>
      <w:bookmarkStart w:id="62" w:name="_Int_gzP7NLRm"/>
      <w:r w:rsidRPr="6002C6A8">
        <w:rPr>
          <w:rFonts w:cs="Arial"/>
        </w:rPr>
        <w:t>largely corroborated</w:t>
      </w:r>
      <w:bookmarkEnd w:id="62"/>
      <w:r w:rsidRPr="6002C6A8">
        <w:rPr>
          <w:rFonts w:cs="Arial"/>
        </w:rPr>
        <w:t xml:space="preserve"> by the </w:t>
      </w:r>
      <w:r w:rsidR="000172D3" w:rsidRPr="6002C6A8">
        <w:rPr>
          <w:rFonts w:cs="Arial"/>
        </w:rPr>
        <w:t>primary research</w:t>
      </w:r>
      <w:r w:rsidRPr="6002C6A8">
        <w:rPr>
          <w:rFonts w:cs="Arial"/>
        </w:rPr>
        <w:t xml:space="preserve">, where commissioners who had commissioned a SIB felt the process of </w:t>
      </w:r>
      <w:r w:rsidR="00AC4A6A" w:rsidRPr="6002C6A8">
        <w:rPr>
          <w:rFonts w:cs="Arial"/>
        </w:rPr>
        <w:t>deciding</w:t>
      </w:r>
      <w:r w:rsidRPr="6002C6A8">
        <w:rPr>
          <w:rFonts w:cs="Arial"/>
        </w:rPr>
        <w:t xml:space="preserve"> how they might structure the financing</w:t>
      </w:r>
      <w:r w:rsidR="00F63728" w:rsidRPr="6002C6A8">
        <w:rPr>
          <w:rFonts w:cs="Arial"/>
        </w:rPr>
        <w:t>,</w:t>
      </w:r>
      <w:r w:rsidRPr="6002C6A8">
        <w:rPr>
          <w:rFonts w:cs="Arial"/>
        </w:rPr>
        <w:t xml:space="preserve"> how they define an outcome or trigger</w:t>
      </w:r>
      <w:r w:rsidR="00F63728" w:rsidRPr="6002C6A8">
        <w:rPr>
          <w:rFonts w:cs="Arial"/>
        </w:rPr>
        <w:t>,</w:t>
      </w:r>
      <w:r w:rsidRPr="6002C6A8">
        <w:rPr>
          <w:rFonts w:cs="Arial"/>
        </w:rPr>
        <w:t xml:space="preserve"> or what is a reasonable amount to pay</w:t>
      </w:r>
      <w:r w:rsidR="00195946" w:rsidRPr="6002C6A8">
        <w:rPr>
          <w:rFonts w:cs="Arial"/>
        </w:rPr>
        <w:t xml:space="preserve"> took more effort than expected</w:t>
      </w:r>
      <w:r w:rsidRPr="6002C6A8">
        <w:rPr>
          <w:rFonts w:cs="Arial"/>
        </w:rPr>
        <w:t>. Moreover,</w:t>
      </w:r>
      <w:r w:rsidR="00D414F6" w:rsidRPr="6002C6A8">
        <w:rPr>
          <w:rFonts w:cs="Arial"/>
        </w:rPr>
        <w:t xml:space="preserve"> many of</w:t>
      </w:r>
      <w:r w:rsidRPr="6002C6A8">
        <w:rPr>
          <w:rFonts w:cs="Arial"/>
        </w:rPr>
        <w:t xml:space="preserve"> those</w:t>
      </w:r>
      <w:r w:rsidR="00D414F6" w:rsidRPr="6002C6A8">
        <w:rPr>
          <w:rFonts w:cs="Arial"/>
        </w:rPr>
        <w:t xml:space="preserve"> interviewed</w:t>
      </w:r>
      <w:r w:rsidRPr="6002C6A8">
        <w:rPr>
          <w:rFonts w:cs="Arial"/>
        </w:rPr>
        <w:t xml:space="preserve"> that had not commissioned a SIB highlighted </w:t>
      </w:r>
      <w:r w:rsidR="00CE1B09" w:rsidRPr="6002C6A8">
        <w:rPr>
          <w:rFonts w:cs="Arial"/>
        </w:rPr>
        <w:t xml:space="preserve">the perceived </w:t>
      </w:r>
      <w:bookmarkStart w:id="63" w:name="_Int_AmAXqZoY"/>
      <w:r w:rsidR="00D414F6" w:rsidRPr="6002C6A8">
        <w:rPr>
          <w:rFonts w:cs="Arial"/>
        </w:rPr>
        <w:t xml:space="preserve">high </w:t>
      </w:r>
      <w:r w:rsidR="006544EC" w:rsidRPr="6002C6A8">
        <w:rPr>
          <w:rFonts w:cs="Arial"/>
        </w:rPr>
        <w:t>costs</w:t>
      </w:r>
      <w:bookmarkEnd w:id="63"/>
      <w:r w:rsidR="006544EC" w:rsidRPr="6002C6A8">
        <w:rPr>
          <w:rFonts w:cs="Arial"/>
        </w:rPr>
        <w:t xml:space="preserve"> of setting up a SIB</w:t>
      </w:r>
      <w:r w:rsidRPr="6002C6A8">
        <w:rPr>
          <w:rFonts w:cs="Arial"/>
        </w:rPr>
        <w:t xml:space="preserve"> as a primary reason not to use it</w:t>
      </w:r>
      <w:r w:rsidR="00D414F6" w:rsidRPr="6002C6A8">
        <w:rPr>
          <w:rFonts w:cs="Arial"/>
        </w:rPr>
        <w:t>. For others, awareness was an issue</w:t>
      </w:r>
      <w:r w:rsidR="008A1D18" w:rsidRPr="6002C6A8">
        <w:rPr>
          <w:rFonts w:cs="Arial"/>
        </w:rPr>
        <w:t>,</w:t>
      </w:r>
      <w:r w:rsidR="00D414F6" w:rsidRPr="6002C6A8">
        <w:rPr>
          <w:rFonts w:cs="Arial"/>
        </w:rPr>
        <w:t xml:space="preserve"> in that they</w:t>
      </w:r>
      <w:r w:rsidRPr="6002C6A8">
        <w:rPr>
          <w:rFonts w:cs="Arial"/>
        </w:rPr>
        <w:t xml:space="preserve"> had no knowledge of </w:t>
      </w:r>
      <w:r w:rsidR="00D414F6" w:rsidRPr="6002C6A8">
        <w:rPr>
          <w:rFonts w:cs="Arial"/>
        </w:rPr>
        <w:t>SIBs and how they could be</w:t>
      </w:r>
      <w:r w:rsidRPr="6002C6A8">
        <w:rPr>
          <w:rFonts w:cs="Arial"/>
        </w:rPr>
        <w:t xml:space="preserve"> an option. Therefore, </w:t>
      </w:r>
      <w:bookmarkStart w:id="64" w:name="_Int_W1bj8T1D"/>
      <w:r w:rsidRPr="6002C6A8">
        <w:rPr>
          <w:rFonts w:cs="Arial"/>
        </w:rPr>
        <w:t xml:space="preserve">it is clear that </w:t>
      </w:r>
      <w:r w:rsidR="00781BE8" w:rsidRPr="6002C6A8">
        <w:rPr>
          <w:rFonts w:cs="Arial"/>
        </w:rPr>
        <w:t>perceptions</w:t>
      </w:r>
      <w:bookmarkEnd w:id="64"/>
      <w:r w:rsidR="00781BE8" w:rsidRPr="6002C6A8">
        <w:rPr>
          <w:rFonts w:cs="Arial"/>
        </w:rPr>
        <w:t xml:space="preserve"> around the </w:t>
      </w:r>
      <w:r w:rsidRPr="6002C6A8">
        <w:rPr>
          <w:rFonts w:cs="Arial"/>
        </w:rPr>
        <w:t xml:space="preserve">overall cost of commissioning a SIB, both from a financial and </w:t>
      </w:r>
      <w:r w:rsidR="00D414F6" w:rsidRPr="6002C6A8">
        <w:rPr>
          <w:rFonts w:cs="Arial"/>
        </w:rPr>
        <w:t xml:space="preserve">resourcing </w:t>
      </w:r>
      <w:r w:rsidRPr="6002C6A8">
        <w:rPr>
          <w:rFonts w:cs="Arial"/>
        </w:rPr>
        <w:t>perspective, can be a significant negative factor that influences the commissioning decision making process.</w:t>
      </w:r>
    </w:p>
    <w:p w14:paraId="45DEC014" w14:textId="254373A4" w:rsidR="006E6856" w:rsidRDefault="000308F3" w:rsidP="006E6856">
      <w:pPr>
        <w:pStyle w:val="EcorysBody"/>
        <w:jc w:val="both"/>
      </w:pPr>
      <w:r w:rsidRPr="6002C6A8">
        <w:rPr>
          <w:rFonts w:cs="Arial"/>
        </w:rPr>
        <w:t>Commissioners</w:t>
      </w:r>
      <w:r w:rsidR="00671AC3" w:rsidRPr="6002C6A8">
        <w:rPr>
          <w:rFonts w:cs="Arial"/>
        </w:rPr>
        <w:t xml:space="preserve"> interviewed</w:t>
      </w:r>
      <w:r w:rsidRPr="6002C6A8">
        <w:rPr>
          <w:rFonts w:cs="Arial"/>
        </w:rPr>
        <w:t xml:space="preserve"> in t</w:t>
      </w:r>
      <w:r w:rsidR="006E6856" w:rsidRPr="6002C6A8">
        <w:rPr>
          <w:rFonts w:cs="Arial"/>
        </w:rPr>
        <w:t>he</w:t>
      </w:r>
      <w:r w:rsidR="0012421C" w:rsidRPr="6002C6A8">
        <w:rPr>
          <w:rFonts w:cs="Arial"/>
        </w:rPr>
        <w:t xml:space="preserve"> LAs</w:t>
      </w:r>
      <w:r w:rsidR="006E6856" w:rsidRPr="6002C6A8">
        <w:rPr>
          <w:rFonts w:cs="Arial"/>
        </w:rPr>
        <w:t xml:space="preserve"> where a SIB contracting approach had been used did explain that once the SIB was commissioned, it was valuable. The </w:t>
      </w:r>
      <w:r w:rsidR="006E6856" w:rsidRPr="6002C6A8">
        <w:rPr>
          <w:rFonts w:cs="Arial"/>
          <w:b/>
          <w:bCs/>
        </w:rPr>
        <w:t>focus on outcomes enabled an ‘invest to save’ approach</w:t>
      </w:r>
      <w:r w:rsidR="006E6856" w:rsidRPr="6002C6A8">
        <w:rPr>
          <w:rFonts w:cs="Arial"/>
        </w:rPr>
        <w:t xml:space="preserve"> which encouraged innovative delivery and attained desired results, especially in preventative services. These savings were often cited as the most attractive reason to commission a SIB due to wider budget cuts or shortfalls. This aligns well with the findings in the literature</w:t>
      </w:r>
      <w:r w:rsidR="00FD64CE" w:rsidRPr="6002C6A8">
        <w:rPr>
          <w:rFonts w:cs="Arial"/>
        </w:rPr>
        <w:t>,</w:t>
      </w:r>
      <w:r w:rsidR="006E6856" w:rsidRPr="6002C6A8">
        <w:rPr>
          <w:rFonts w:cs="Arial"/>
        </w:rPr>
        <w:t xml:space="preserve"> which articulated how SIBs provide financial incentives for commissioners. </w:t>
      </w:r>
      <w:r w:rsidR="006E6856">
        <w:t>Rosenbach and Carter (2020) and Fraser et al. (2018) highlight the principle behind the SIB to offer a financial ‘win-</w:t>
      </w:r>
      <w:r w:rsidR="005329CA">
        <w:t>w</w:t>
      </w:r>
      <w:r w:rsidR="006E6856">
        <w:t xml:space="preserve">in-win’ through the transfer of upfront capital and financial risk from providers to investors, the achievement of public sector savings to central and local government, and the making of financial returns to </w:t>
      </w:r>
      <w:bookmarkStart w:id="65" w:name="_Int_Na47J11s"/>
      <w:r w:rsidR="006E6856">
        <w:t>socially</w:t>
      </w:r>
      <w:r w:rsidR="005329CA">
        <w:t>-</w:t>
      </w:r>
      <w:r w:rsidR="006E6856">
        <w:t>minded</w:t>
      </w:r>
      <w:bookmarkEnd w:id="65"/>
      <w:r w:rsidR="006E6856">
        <w:t xml:space="preserve"> investors. This was also supported by evidence such as the HCT Independent Travel Training SIB</w:t>
      </w:r>
      <w:r w:rsidR="00D036F1">
        <w:t xml:space="preserve"> in-depth review</w:t>
      </w:r>
      <w:r w:rsidR="006E6856">
        <w:t xml:space="preserve">, </w:t>
      </w:r>
      <w:r w:rsidR="00D036F1">
        <w:t xml:space="preserve">which suggests that </w:t>
      </w:r>
      <w:r w:rsidR="006E6856">
        <w:t xml:space="preserve">supporting independent travel for young people with special educational needs or disabilities </w:t>
      </w:r>
      <w:r w:rsidR="0080028A">
        <w:t xml:space="preserve">provides </w:t>
      </w:r>
      <w:r w:rsidR="006E6856">
        <w:t xml:space="preserve">a potential £4 of savings for every £1 of investment in the intervention (Stanworth, </w:t>
      </w:r>
      <w:r w:rsidR="006E6856">
        <w:lastRenderedPageBreak/>
        <w:t>2018). The alignment between secondary and primary evidence suggests that when SIBs are commissioned, they can produce financial savings for Local Authorities.</w:t>
      </w:r>
    </w:p>
    <w:p w14:paraId="0D7BAA0B" w14:textId="611D14C4" w:rsidR="006E6856" w:rsidRDefault="00E42189" w:rsidP="006E6856">
      <w:pPr>
        <w:pStyle w:val="EcorysBody"/>
        <w:jc w:val="both"/>
      </w:pPr>
      <w:r>
        <w:t>The evidence indicates that t</w:t>
      </w:r>
      <w:r w:rsidR="006E6856">
        <w:t>he balance between the high set-up costs and ultimate financial savings associated with a SIB will undoubtedly influence a commissioner</w:t>
      </w:r>
      <w:r>
        <w:t>’</w:t>
      </w:r>
      <w:r w:rsidR="006E6856">
        <w:t xml:space="preserve">s decision making. As noted in the REA, there is a risk that any </w:t>
      </w:r>
      <w:r w:rsidR="006E6856" w:rsidRPr="6002C6A8">
        <w:rPr>
          <w:rFonts w:cs="Arial"/>
        </w:rPr>
        <w:t xml:space="preserve">possible </w:t>
      </w:r>
      <w:r w:rsidR="006E6856" w:rsidRPr="6002C6A8">
        <w:rPr>
          <w:rFonts w:cs="Arial"/>
          <w:b/>
          <w:bCs/>
        </w:rPr>
        <w:t>cashable savings may be offset by high intervention costs</w:t>
      </w:r>
      <w:r w:rsidR="006E6856" w:rsidRPr="6002C6A8">
        <w:rPr>
          <w:rFonts w:cs="Arial"/>
        </w:rPr>
        <w:t xml:space="preserve"> and </w:t>
      </w:r>
      <w:r w:rsidRPr="6002C6A8">
        <w:rPr>
          <w:rFonts w:cs="Arial"/>
        </w:rPr>
        <w:t xml:space="preserve">the </w:t>
      </w:r>
      <w:r w:rsidR="006E6856" w:rsidRPr="6002C6A8">
        <w:rPr>
          <w:rFonts w:cs="Arial"/>
        </w:rPr>
        <w:t xml:space="preserve">intensive resources needed to upkeep programmes (Fraser et al. 2018). Commissioners </w:t>
      </w:r>
      <w:r w:rsidRPr="6002C6A8">
        <w:rPr>
          <w:rFonts w:cs="Arial"/>
        </w:rPr>
        <w:t>participating</w:t>
      </w:r>
      <w:r w:rsidR="006E6856" w:rsidRPr="6002C6A8">
        <w:rPr>
          <w:rFonts w:cs="Arial"/>
        </w:rPr>
        <w:t xml:space="preserve"> in the </w:t>
      </w:r>
      <w:r w:rsidR="00AE2162" w:rsidRPr="6002C6A8">
        <w:rPr>
          <w:rFonts w:cs="Arial"/>
        </w:rPr>
        <w:t>qualitative research</w:t>
      </w:r>
      <w:r w:rsidR="006E6856" w:rsidRPr="6002C6A8">
        <w:rPr>
          <w:rFonts w:cs="Arial"/>
        </w:rPr>
        <w:t xml:space="preserve"> reported that </w:t>
      </w:r>
      <w:r w:rsidRPr="6002C6A8">
        <w:rPr>
          <w:rFonts w:cs="Arial"/>
        </w:rPr>
        <w:t xml:space="preserve">this </w:t>
      </w:r>
      <w:r w:rsidR="006E6856" w:rsidRPr="6002C6A8">
        <w:rPr>
          <w:rFonts w:cs="Arial"/>
        </w:rPr>
        <w:t xml:space="preserve">was </w:t>
      </w:r>
      <w:bookmarkStart w:id="66" w:name="_Int_JLwdZQvP"/>
      <w:r w:rsidR="006E6856" w:rsidRPr="6002C6A8">
        <w:rPr>
          <w:rFonts w:cs="Arial"/>
        </w:rPr>
        <w:t>almost always</w:t>
      </w:r>
      <w:bookmarkEnd w:id="66"/>
      <w:r w:rsidR="006E6856" w:rsidRPr="6002C6A8">
        <w:rPr>
          <w:rFonts w:cs="Arial"/>
        </w:rPr>
        <w:t xml:space="preserve"> the case. Even those who had a positive outcome from their SIB intervention explained that they do not have the budget to </w:t>
      </w:r>
      <w:r w:rsidR="006E6856">
        <w:t>undertake a SIB independently, without external additional funds</w:t>
      </w:r>
      <w:r>
        <w:t xml:space="preserve">, such as those from </w:t>
      </w:r>
      <w:r w:rsidR="007A09B6">
        <w:t>the Life Chances Fund or CBO Fund</w:t>
      </w:r>
      <w:r w:rsidR="006E6856">
        <w:t xml:space="preserve">. </w:t>
      </w:r>
      <w:r w:rsidR="00B35398">
        <w:t>This caused some commissioners to question the applicability of the SIB model in the current context (at the time of reporting), where LA commissioners were having to manage increased demand for services and budget cuts.</w:t>
      </w:r>
    </w:p>
    <w:p w14:paraId="5C371540" w14:textId="7101D2CD" w:rsidR="006E6856" w:rsidRPr="00175CC8" w:rsidRDefault="006E6856" w:rsidP="006E6856">
      <w:pPr>
        <w:pStyle w:val="EcorysBody"/>
        <w:jc w:val="both"/>
        <w:rPr>
          <w:i/>
          <w:iCs/>
          <w:color w:val="006EB8" w:themeColor="accent1"/>
        </w:rPr>
      </w:pPr>
      <w:r w:rsidRPr="00175CC8">
        <w:rPr>
          <w:i/>
          <w:iCs/>
          <w:color w:val="006EB8" w:themeColor="accent1"/>
        </w:rPr>
        <w:t xml:space="preserve"> “I would do a SIB again</w:t>
      </w:r>
      <w:r>
        <w:rPr>
          <w:i/>
          <w:iCs/>
          <w:color w:val="006EB8" w:themeColor="accent1"/>
        </w:rPr>
        <w:t>,</w:t>
      </w:r>
      <w:r w:rsidRPr="00175CC8">
        <w:rPr>
          <w:i/>
          <w:iCs/>
          <w:color w:val="006EB8" w:themeColor="accent1"/>
        </w:rPr>
        <w:t xml:space="preserve"> but it would be hard to get an invest to save SIB based on cost avoided off the ground in the current environment right now”</w:t>
      </w:r>
      <w:r w:rsidR="00C63235">
        <w:rPr>
          <w:i/>
          <w:iCs/>
          <w:color w:val="006EB8" w:themeColor="accent1"/>
        </w:rPr>
        <w:t xml:space="preserve"> – LA Commissioner</w:t>
      </w:r>
    </w:p>
    <w:p w14:paraId="48372D5D" w14:textId="77777777" w:rsidR="006E6856" w:rsidRDefault="006E6856" w:rsidP="006E6856">
      <w:pPr>
        <w:pStyle w:val="EcorysSectionLevel02"/>
      </w:pPr>
      <w:bookmarkStart w:id="67" w:name="_Toc167437676"/>
      <w:r>
        <w:t>Payment by Results</w:t>
      </w:r>
      <w:bookmarkEnd w:id="67"/>
    </w:p>
    <w:p w14:paraId="07D41EF5" w14:textId="3AD62E62" w:rsidR="006E6856" w:rsidRDefault="006E6856" w:rsidP="006E6856">
      <w:pPr>
        <w:pStyle w:val="EcorysBody"/>
      </w:pPr>
      <w:r>
        <w:t xml:space="preserve">Similarly to SIBs, </w:t>
      </w:r>
      <w:r w:rsidR="00B35398">
        <w:t>commissioners of</w:t>
      </w:r>
      <w:r>
        <w:t xml:space="preserve"> Payment by Results </w:t>
      </w:r>
      <w:bookmarkStart w:id="68" w:name="_Int_l0AsxOHb"/>
      <w:r>
        <w:t>approaches</w:t>
      </w:r>
      <w:bookmarkEnd w:id="68"/>
      <w:r>
        <w:t xml:space="preserve"> also considered </w:t>
      </w:r>
      <w:r w:rsidRPr="6002C6A8">
        <w:rPr>
          <w:b/>
          <w:bCs/>
        </w:rPr>
        <w:t>economic factors</w:t>
      </w:r>
      <w:r>
        <w:t xml:space="preserve"> when choosing the approach. The complexity surrounding PbR contracts, as identified in both the REA literature and the </w:t>
      </w:r>
      <w:r w:rsidR="00AE2162">
        <w:t>qualitative research</w:t>
      </w:r>
      <w:r>
        <w:t>, require greater investment of time and money for set up and delivery</w:t>
      </w:r>
      <w:r w:rsidR="00B35398">
        <w:t xml:space="preserve"> than more traditional contracting approaches</w:t>
      </w:r>
      <w:r>
        <w:t xml:space="preserve">. This is due to </w:t>
      </w:r>
      <w:r w:rsidRPr="6002C6A8">
        <w:rPr>
          <w:rFonts w:eastAsia="Times New Roman" w:cs="Arial"/>
          <w:color w:val="000000" w:themeColor="text1"/>
          <w:lang w:eastAsia="en-GB"/>
        </w:rPr>
        <w:t xml:space="preserve">detailed design and development work (Albertson, et al., 2018), </w:t>
      </w:r>
      <w:r w:rsidR="00E2779D" w:rsidRPr="6002C6A8">
        <w:rPr>
          <w:rFonts w:eastAsia="Times New Roman" w:cs="Arial"/>
          <w:color w:val="000000" w:themeColor="text1"/>
          <w:lang w:eastAsia="en-GB"/>
        </w:rPr>
        <w:t xml:space="preserve">and </w:t>
      </w:r>
      <w:r w:rsidRPr="6002C6A8">
        <w:rPr>
          <w:rFonts w:eastAsia="Times New Roman" w:cs="Arial"/>
          <w:color w:val="000000" w:themeColor="text1"/>
          <w:lang w:eastAsia="en-GB"/>
        </w:rPr>
        <w:t xml:space="preserve">complex processes for verifying outcomes (Robertson, et al., 2021; Johnstone, 2017; Crossley, 2017). </w:t>
      </w:r>
      <w:r w:rsidR="00E2779D" w:rsidRPr="6002C6A8">
        <w:rPr>
          <w:rFonts w:eastAsia="Times New Roman" w:cs="Arial"/>
          <w:color w:val="000000" w:themeColor="text1"/>
          <w:lang w:eastAsia="en-GB"/>
        </w:rPr>
        <w:t xml:space="preserve">In our </w:t>
      </w:r>
      <w:r w:rsidR="00C15B4D" w:rsidRPr="6002C6A8">
        <w:rPr>
          <w:rFonts w:eastAsia="Times New Roman" w:cs="Arial"/>
          <w:color w:val="000000" w:themeColor="text1"/>
          <w:lang w:eastAsia="en-GB"/>
        </w:rPr>
        <w:t>primary</w:t>
      </w:r>
      <w:r w:rsidR="00E2779D" w:rsidRPr="6002C6A8">
        <w:rPr>
          <w:rFonts w:eastAsia="Times New Roman" w:cs="Arial"/>
          <w:color w:val="000000" w:themeColor="text1"/>
          <w:lang w:eastAsia="en-GB"/>
        </w:rPr>
        <w:t xml:space="preserve"> research, </w:t>
      </w:r>
      <w:r w:rsidR="00E2779D">
        <w:t>t</w:t>
      </w:r>
      <w:r>
        <w:t>hose</w:t>
      </w:r>
      <w:r w:rsidR="00E2779D">
        <w:t xml:space="preserve"> commissioners</w:t>
      </w:r>
      <w:r>
        <w:t xml:space="preserve"> </w:t>
      </w:r>
      <w:r w:rsidR="001F5946">
        <w:t>that</w:t>
      </w:r>
      <w:r>
        <w:t xml:space="preserve"> had utilised a PbR approach agreed the development cost is high and requires intense support </w:t>
      </w:r>
      <w:r w:rsidR="001F5946">
        <w:t>initially.</w:t>
      </w:r>
      <w:r>
        <w:t xml:space="preserve"> It was recognised the </w:t>
      </w:r>
      <w:r w:rsidR="00B35398">
        <w:t xml:space="preserve">LA </w:t>
      </w:r>
      <w:r>
        <w:t xml:space="preserve">needs to have enough </w:t>
      </w:r>
      <w:r w:rsidR="00DE4E46">
        <w:t xml:space="preserve">resources </w:t>
      </w:r>
      <w:r>
        <w:t>to manage that initial set up cost.</w:t>
      </w:r>
    </w:p>
    <w:p w14:paraId="6FB44C22" w14:textId="46F0FCD7" w:rsidR="006E6856" w:rsidRDefault="006E6856" w:rsidP="006E6856">
      <w:pPr>
        <w:pStyle w:val="EcorysBody"/>
        <w:spacing w:before="240"/>
      </w:pPr>
      <w:r>
        <w:t>There was also a negative perception of potential ‘</w:t>
      </w:r>
      <w:r w:rsidRPr="6002C6A8">
        <w:rPr>
          <w:b/>
          <w:bCs/>
        </w:rPr>
        <w:t>system gaming’</w:t>
      </w:r>
      <w:r>
        <w:t xml:space="preserve"> within </w:t>
      </w:r>
      <w:r w:rsidR="0047072F">
        <w:t>PbR</w:t>
      </w:r>
      <w:r>
        <w:t xml:space="preserve"> </w:t>
      </w:r>
      <w:r w:rsidR="008B01DD">
        <w:t>contracts</w:t>
      </w:r>
      <w:r>
        <w:t>. This was highlighted quite prominently in the literature, which described the risk of practices such as ‘cherry-picking’ or ‘creaming’ (</w:t>
      </w:r>
      <w:r w:rsidR="008B01DD">
        <w:t>i.e.</w:t>
      </w:r>
      <w:r>
        <w:t xml:space="preserve"> described as a practice when providers choose to work with people who are closer to achieving the outcomes tied to </w:t>
      </w:r>
      <w:r w:rsidR="00D7044D">
        <w:t>payment</w:t>
      </w:r>
      <w:r>
        <w:t>, or ignoring ‘difficult’ - more complex - cases (Albertson, et al., 2018; Robertson, et al., 2021; Whitworth, 2020; Johnstone, 2017; Welshman, 2016)</w:t>
      </w:r>
      <w:r w:rsidR="008B01DD">
        <w:t>)</w:t>
      </w:r>
      <w:r>
        <w:t xml:space="preserve">. </w:t>
      </w:r>
      <w:r w:rsidR="0013421C">
        <w:t>This evidenced by Carter (2019</w:t>
      </w:r>
      <w:r w:rsidR="00864959">
        <w:t>, p.88</w:t>
      </w:r>
      <w:r w:rsidR="0013421C">
        <w:t xml:space="preserve">) where </w:t>
      </w:r>
      <w:r w:rsidR="0013421C" w:rsidRPr="6002C6A8">
        <w:rPr>
          <w:rFonts w:eastAsia="Times New Roman" w:cs="Arial"/>
          <w:color w:val="000000" w:themeColor="text1"/>
          <w:lang w:eastAsia="en-GB"/>
        </w:rPr>
        <w:t xml:space="preserve">providers </w:t>
      </w:r>
      <w:r w:rsidR="00864959" w:rsidRPr="6002C6A8">
        <w:rPr>
          <w:rFonts w:eastAsia="Times New Roman" w:cs="Arial"/>
          <w:color w:val="000000" w:themeColor="text1"/>
          <w:lang w:eastAsia="en-GB"/>
        </w:rPr>
        <w:t xml:space="preserve">in the DWP’s Work Programme, </w:t>
      </w:r>
      <w:r w:rsidR="0013421C" w:rsidRPr="6002C6A8">
        <w:rPr>
          <w:rFonts w:eastAsia="Times New Roman" w:cs="Arial"/>
          <w:i/>
          <w:iCs/>
          <w:color w:val="000000" w:themeColor="text1"/>
          <w:lang w:eastAsia="en-GB"/>
        </w:rPr>
        <w:t xml:space="preserve">“developed profiling tools to “triage” their caseloads to focus energies on those easiest and most likely to move into work, whilst deprioritising claimants who were considered to need more time and resource to support </w:t>
      </w:r>
      <w:bookmarkStart w:id="69" w:name="_Int_I3M9rGos"/>
      <w:r w:rsidR="0013421C" w:rsidRPr="6002C6A8">
        <w:rPr>
          <w:rFonts w:eastAsia="Times New Roman" w:cs="Arial"/>
          <w:i/>
          <w:iCs/>
          <w:color w:val="000000" w:themeColor="text1"/>
          <w:lang w:eastAsia="en-GB"/>
        </w:rPr>
        <w:t>in order to</w:t>
      </w:r>
      <w:bookmarkEnd w:id="69"/>
      <w:r w:rsidR="0013421C" w:rsidRPr="6002C6A8">
        <w:rPr>
          <w:rFonts w:eastAsia="Times New Roman" w:cs="Arial"/>
          <w:i/>
          <w:iCs/>
          <w:color w:val="000000" w:themeColor="text1"/>
          <w:lang w:eastAsia="en-GB"/>
        </w:rPr>
        <w:t xml:space="preserve"> maximise pay-outs</w:t>
      </w:r>
      <w:r w:rsidR="004E2091" w:rsidRPr="6002C6A8">
        <w:rPr>
          <w:rFonts w:eastAsia="Times New Roman" w:cs="Arial"/>
          <w:i/>
          <w:iCs/>
          <w:color w:val="000000" w:themeColor="text1"/>
          <w:lang w:eastAsia="en-GB"/>
        </w:rPr>
        <w:t>”</w:t>
      </w:r>
      <w:r w:rsidR="0013421C" w:rsidRPr="6002C6A8">
        <w:rPr>
          <w:rFonts w:eastAsia="Times New Roman" w:cs="Arial"/>
          <w:i/>
          <w:iCs/>
          <w:color w:val="000000" w:themeColor="text1"/>
          <w:lang w:eastAsia="en-GB"/>
        </w:rPr>
        <w:t>.</w:t>
      </w:r>
      <w:r w:rsidR="0013421C" w:rsidRPr="6002C6A8">
        <w:rPr>
          <w:rFonts w:eastAsia="Times New Roman" w:cs="Arial"/>
          <w:color w:val="000000" w:themeColor="text1"/>
          <w:lang w:eastAsia="en-GB"/>
        </w:rPr>
        <w:t xml:space="preserve"> </w:t>
      </w:r>
      <w:r>
        <w:t xml:space="preserve">This </w:t>
      </w:r>
      <w:r w:rsidR="00B73B82">
        <w:t xml:space="preserve">concern was reflected </w:t>
      </w:r>
      <w:r>
        <w:t xml:space="preserve">across </w:t>
      </w:r>
      <w:r w:rsidR="007A6630">
        <w:t>the LA</w:t>
      </w:r>
      <w:r>
        <w:t xml:space="preserve"> commissioners</w:t>
      </w:r>
      <w:r w:rsidR="007C0CBC">
        <w:t xml:space="preserve"> that were</w:t>
      </w:r>
      <w:r w:rsidR="00D70DDD">
        <w:t xml:space="preserve"> interviewed</w:t>
      </w:r>
      <w:r>
        <w:t xml:space="preserve">, who noted this as a key </w:t>
      </w:r>
      <w:bookmarkStart w:id="70" w:name="_Int_wnMnRTr3"/>
      <w:r>
        <w:t>reason why</w:t>
      </w:r>
      <w:bookmarkEnd w:id="70"/>
      <w:r>
        <w:t xml:space="preserve"> they would not use a PbR contracting approach. </w:t>
      </w:r>
    </w:p>
    <w:p w14:paraId="72D997DB" w14:textId="6AB94CAD" w:rsidR="006E6856" w:rsidRDefault="006E6856" w:rsidP="006E6856">
      <w:pPr>
        <w:pStyle w:val="EcorysBody"/>
        <w:spacing w:before="240"/>
      </w:pPr>
      <w:r>
        <w:t xml:space="preserve">Furthermore, there was a scepticism of the private sector element of </w:t>
      </w:r>
      <w:proofErr w:type="spellStart"/>
      <w:r>
        <w:t>PbR.</w:t>
      </w:r>
      <w:proofErr w:type="spellEnd"/>
      <w:r>
        <w:t xml:space="preserve"> </w:t>
      </w:r>
      <w:r w:rsidR="00DE4E46">
        <w:t xml:space="preserve">The evidence suggests that </w:t>
      </w:r>
      <w:r>
        <w:t>this is due to private firms, who despite having the ability to offer cheaper solutions (Albertson, et al., 2018) may seek to target the highest value or easiest outcomes (</w:t>
      </w:r>
      <w:r w:rsidRPr="6002C6A8">
        <w:rPr>
          <w:rFonts w:eastAsia="Times New Roman" w:cs="Arial"/>
          <w:color w:val="000000" w:themeColor="text1"/>
          <w:lang w:eastAsia="en-GB"/>
        </w:rPr>
        <w:t>Carter, 2019).</w:t>
      </w:r>
      <w:r>
        <w:t xml:space="preserve"> </w:t>
      </w:r>
      <w:r w:rsidRPr="6002C6A8">
        <w:rPr>
          <w:rFonts w:eastAsia="Times New Roman" w:cs="Arial"/>
          <w:color w:val="000000" w:themeColor="text1"/>
          <w:lang w:eastAsia="en-GB"/>
        </w:rPr>
        <w:t>Cost pressures and ambitious performance targets can drive some of these adverse behaviours (Tan, 20</w:t>
      </w:r>
      <w:r w:rsidR="00DB40E7" w:rsidRPr="6002C6A8">
        <w:rPr>
          <w:rFonts w:eastAsia="Times New Roman" w:cs="Arial"/>
          <w:color w:val="000000" w:themeColor="text1"/>
          <w:lang w:eastAsia="en-GB"/>
        </w:rPr>
        <w:t>19</w:t>
      </w:r>
      <w:r w:rsidRPr="6002C6A8">
        <w:rPr>
          <w:rFonts w:eastAsia="Times New Roman" w:cs="Arial"/>
          <w:color w:val="000000" w:themeColor="text1"/>
          <w:lang w:eastAsia="en-GB"/>
        </w:rPr>
        <w:t>)</w:t>
      </w:r>
      <w:r>
        <w:t xml:space="preserve">. Whilst the possibility of gaming the system is a legitimate concern, those </w:t>
      </w:r>
      <w:r w:rsidR="00165220">
        <w:t xml:space="preserve">interviewed </w:t>
      </w:r>
      <w:r>
        <w:t>who had used a PbR approach</w:t>
      </w:r>
      <w:r w:rsidR="00165220">
        <w:t xml:space="preserve"> </w:t>
      </w:r>
      <w:r>
        <w:t>did not see this as an issue</w:t>
      </w:r>
      <w:r w:rsidR="00EB7FE3">
        <w:t>,</w:t>
      </w:r>
      <w:r>
        <w:t xml:space="preserve"> explaining that P</w:t>
      </w:r>
      <w:r w:rsidR="00165220">
        <w:t>b</w:t>
      </w:r>
      <w:r>
        <w:t xml:space="preserve">R, in </w:t>
      </w:r>
      <w:r w:rsidR="005306D0">
        <w:t>practice</w:t>
      </w:r>
      <w:r>
        <w:t xml:space="preserve">, helps establish whether an organisation is </w:t>
      </w:r>
      <w:bookmarkStart w:id="71" w:name="_Int_cc4fBhfK"/>
      <w:r>
        <w:t>truly interested</w:t>
      </w:r>
      <w:bookmarkEnd w:id="71"/>
      <w:r>
        <w:t xml:space="preserve"> or not in delivering the quality of care necessary</w:t>
      </w:r>
      <w:r w:rsidR="005306D0">
        <w:t xml:space="preserve"> to achieve the outcomes</w:t>
      </w:r>
      <w:r>
        <w:t>.</w:t>
      </w:r>
    </w:p>
    <w:p w14:paraId="20A38ECB" w14:textId="045E1B1F" w:rsidR="006E6856" w:rsidRPr="00253248" w:rsidRDefault="006E6856" w:rsidP="006E6856">
      <w:pPr>
        <w:pStyle w:val="EcorysBody"/>
        <w:rPr>
          <w:i/>
          <w:iCs/>
          <w:color w:val="006EB8" w:themeColor="accent1"/>
        </w:rPr>
      </w:pPr>
      <w:r w:rsidRPr="00253248">
        <w:rPr>
          <w:i/>
          <w:iCs/>
          <w:color w:val="006EB8" w:themeColor="accent1"/>
        </w:rPr>
        <w:t>“</w:t>
      </w:r>
      <w:r>
        <w:rPr>
          <w:i/>
          <w:iCs/>
          <w:color w:val="006EB8" w:themeColor="accent1"/>
        </w:rPr>
        <w:t>…</w:t>
      </w:r>
      <w:r w:rsidRPr="00253248">
        <w:rPr>
          <w:i/>
          <w:iCs/>
          <w:color w:val="006EB8" w:themeColor="accent1"/>
        </w:rPr>
        <w:t xml:space="preserve">there is onus and responsibility from the providers part to make sure that outcomes are being met and by, you know, in virtue of that you have a good quality service for the individual.” </w:t>
      </w:r>
      <w:r w:rsidR="00430DEB">
        <w:rPr>
          <w:i/>
          <w:iCs/>
          <w:color w:val="006EB8" w:themeColor="accent1"/>
        </w:rPr>
        <w:t xml:space="preserve"> - LA Commissioner</w:t>
      </w:r>
    </w:p>
    <w:p w14:paraId="3DA9BA51" w14:textId="77777777" w:rsidR="006E6856" w:rsidRDefault="006E6856" w:rsidP="006E6856">
      <w:pPr>
        <w:pStyle w:val="EcorysSectionLevel02"/>
      </w:pPr>
      <w:bookmarkStart w:id="72" w:name="_Toc167437677"/>
      <w:r>
        <w:lastRenderedPageBreak/>
        <w:t>Alliance contracting</w:t>
      </w:r>
      <w:bookmarkEnd w:id="72"/>
    </w:p>
    <w:p w14:paraId="335D9496" w14:textId="2E93AD16" w:rsidR="006E6856" w:rsidRPr="00F92568" w:rsidRDefault="006E6856" w:rsidP="006E6856">
      <w:pPr>
        <w:pStyle w:val="EcorysBody"/>
      </w:pPr>
      <w:r>
        <w:t xml:space="preserve">Alliance contracting often hinges upon bringing together organisations </w:t>
      </w:r>
      <w:bookmarkStart w:id="73" w:name="_Int_Qmj1QyQz"/>
      <w:r>
        <w:t>in an attempt to</w:t>
      </w:r>
      <w:bookmarkEnd w:id="73"/>
      <w:r>
        <w:t xml:space="preserve"> maximise the performance of services. This naturally requires compromise through an alliance of organisations working to achieve shared outcomes in an environment where there is need to </w:t>
      </w:r>
      <w:r w:rsidR="00B35398">
        <w:t xml:space="preserve">minimise </w:t>
      </w:r>
      <w:r>
        <w:t xml:space="preserve">financial expense and innovate in service delivery to improve client outcomes (Damm et al., 2019). The </w:t>
      </w:r>
      <w:r w:rsidR="00205255">
        <w:t>primary</w:t>
      </w:r>
      <w:r>
        <w:t xml:space="preserve"> research identified that </w:t>
      </w:r>
      <w:r w:rsidR="009E0029">
        <w:t>it</w:t>
      </w:r>
      <w:r>
        <w:t xml:space="preserve"> was often </w:t>
      </w:r>
      <w:r w:rsidRPr="6002C6A8">
        <w:rPr>
          <w:b/>
          <w:bCs/>
        </w:rPr>
        <w:t xml:space="preserve">political factors </w:t>
      </w:r>
      <w:r>
        <w:t xml:space="preserve">which influenced </w:t>
      </w:r>
      <w:r w:rsidR="00D8284A">
        <w:t>commissioners’</w:t>
      </w:r>
      <w:r>
        <w:t xml:space="preserve"> decision to adopt an </w:t>
      </w:r>
      <w:r w:rsidR="000F15A0">
        <w:t>a</w:t>
      </w:r>
      <w:r>
        <w:t>lliance contracting approach. Buy-in from senior stakeholders across those involved in the alliance was seen as a vital enabler for this approach, which commissioners were able to ‘sell’ upwards</w:t>
      </w:r>
      <w:r w:rsidR="00B35398">
        <w:t>,</w:t>
      </w:r>
      <w:r>
        <w:t xml:space="preserve"> </w:t>
      </w:r>
      <w:r w:rsidR="00B35398">
        <w:t xml:space="preserve">to senior staff/councillors, </w:t>
      </w:r>
      <w:r>
        <w:t>and outwards</w:t>
      </w:r>
      <w:r w:rsidR="00B35398">
        <w:t xml:space="preserve"> to the wider market,</w:t>
      </w:r>
      <w:r>
        <w:t xml:space="preserve"> as an opportunity for innovation and performance improvement (including for the service providers).</w:t>
      </w:r>
    </w:p>
    <w:p w14:paraId="281A0C32" w14:textId="0CB141FA" w:rsidR="006E6856" w:rsidRDefault="00E20779" w:rsidP="006E6856">
      <w:pPr>
        <w:pStyle w:val="EcorysBody"/>
      </w:pPr>
      <w:r>
        <w:t>The</w:t>
      </w:r>
      <w:r w:rsidR="006E6856" w:rsidRPr="00CC00B4">
        <w:t xml:space="preserve"> REA </w:t>
      </w:r>
      <w:r w:rsidR="002B0900">
        <w:t>found</w:t>
      </w:r>
      <w:r>
        <w:t xml:space="preserve"> that </w:t>
      </w:r>
      <w:r w:rsidR="006E6856" w:rsidRPr="00CC00B4">
        <w:t xml:space="preserve">a key advantage to </w:t>
      </w:r>
      <w:r w:rsidR="000F15A0">
        <w:t>a</w:t>
      </w:r>
      <w:r w:rsidR="006E6856">
        <w:t>lliance contracting is the focus</w:t>
      </w:r>
      <w:r w:rsidR="006E6856" w:rsidRPr="004551BB">
        <w:t xml:space="preserve"> on the performance of the whole alliance instead of individual organisations</w:t>
      </w:r>
      <w:r w:rsidR="006E6856">
        <w:t>. This</w:t>
      </w:r>
      <w:r w:rsidR="006E6856" w:rsidRPr="004551BB">
        <w:t xml:space="preserve"> </w:t>
      </w:r>
      <w:r w:rsidR="006E6856">
        <w:t>can be an</w:t>
      </w:r>
      <w:r w:rsidR="006E6856" w:rsidRPr="004551BB">
        <w:t xml:space="preserve"> effective for encouraging and supporting organisations to learn and adapt through a </w:t>
      </w:r>
      <w:r w:rsidR="000F15A0">
        <w:t>“</w:t>
      </w:r>
      <w:r w:rsidR="00DE4E46">
        <w:t>‘</w:t>
      </w:r>
      <w:r w:rsidR="006E6856" w:rsidRPr="00DE4E46">
        <w:rPr>
          <w:i/>
          <w:iCs/>
        </w:rPr>
        <w:t>whole</w:t>
      </w:r>
      <w:r w:rsidR="00940317" w:rsidRPr="00DE4E46">
        <w:rPr>
          <w:i/>
          <w:iCs/>
        </w:rPr>
        <w:t xml:space="preserve"> </w:t>
      </w:r>
      <w:r w:rsidR="006E6856" w:rsidRPr="00DE4E46">
        <w:rPr>
          <w:i/>
          <w:iCs/>
        </w:rPr>
        <w:t>system</w:t>
      </w:r>
      <w:r w:rsidR="003410FD" w:rsidRPr="00DE4E46">
        <w:rPr>
          <w:i/>
          <w:iCs/>
        </w:rPr>
        <w:t>s</w:t>
      </w:r>
      <w:r w:rsidR="006E6856" w:rsidRPr="00DE4E46">
        <w:rPr>
          <w:i/>
          <w:iCs/>
        </w:rPr>
        <w:t xml:space="preserve"> approach to delivery, where there is a collective goal, interdependent responsibilities, and shared risks and rewards</w:t>
      </w:r>
      <w:r w:rsidR="000F15A0">
        <w:rPr>
          <w:i/>
          <w:iCs/>
        </w:rPr>
        <w:t>”</w:t>
      </w:r>
      <w:r w:rsidR="006E6856">
        <w:t xml:space="preserve"> </w:t>
      </w:r>
      <w:r w:rsidR="006E6856" w:rsidRPr="004551BB">
        <w:t>(Blundell et al, 2019, p6).</w:t>
      </w:r>
      <w:r w:rsidR="006E6856">
        <w:t xml:space="preserve"> Furthermore, </w:t>
      </w:r>
      <w:r w:rsidR="002E4C49">
        <w:t>our qualitative research</w:t>
      </w:r>
      <w:r w:rsidR="004E7281">
        <w:t xml:space="preserve"> showed that </w:t>
      </w:r>
      <w:r w:rsidR="002E4C49">
        <w:t>a</w:t>
      </w:r>
      <w:r w:rsidR="004E7281">
        <w:t xml:space="preserve">lliance contracting can allow for LAs </w:t>
      </w:r>
      <w:r w:rsidR="002B0900">
        <w:t xml:space="preserve">to have </w:t>
      </w:r>
      <w:r w:rsidR="004E7281">
        <w:t>maximum control over a budget</w:t>
      </w:r>
      <w:r w:rsidR="002B0900">
        <w:t>,</w:t>
      </w:r>
      <w:r w:rsidR="004E7281">
        <w:t xml:space="preserve"> which was seen as helpful, especially when the contract value was likely to decrease over time. Moreover, the</w:t>
      </w:r>
      <w:r w:rsidR="006E6856">
        <w:t xml:space="preserve"> literature also identified that commissioners decide to use </w:t>
      </w:r>
      <w:r w:rsidR="002E4C49">
        <w:t>a</w:t>
      </w:r>
      <w:r w:rsidR="006E6856">
        <w:t xml:space="preserve">lliance contracting to ensure an </w:t>
      </w:r>
      <w:r w:rsidR="006E6856" w:rsidRPr="004551BB">
        <w:t>appropriate level of risk to the providers</w:t>
      </w:r>
      <w:r w:rsidR="006E6856">
        <w:t xml:space="preserve"> to maximise buy-in </w:t>
      </w:r>
      <w:r w:rsidR="006E6856" w:rsidRPr="004551BB">
        <w:t>(Sanderson et al, 2019).</w:t>
      </w:r>
    </w:p>
    <w:p w14:paraId="0A529B81" w14:textId="77777777" w:rsidR="006E6856" w:rsidRDefault="006E6856" w:rsidP="006E6856">
      <w:pPr>
        <w:pStyle w:val="EcorysSectionLevel02"/>
      </w:pPr>
      <w:bookmarkStart w:id="74" w:name="_Toc167437678"/>
      <w:r>
        <w:t>Fee for Service</w:t>
      </w:r>
      <w:bookmarkEnd w:id="74"/>
    </w:p>
    <w:p w14:paraId="1E246654" w14:textId="073CD3BE" w:rsidR="006E6856" w:rsidRDefault="003410FD" w:rsidP="006E6856">
      <w:pPr>
        <w:pStyle w:val="EcorysBody"/>
      </w:pPr>
      <w:r>
        <w:t>The</w:t>
      </w:r>
      <w:r w:rsidR="006E6856">
        <w:t xml:space="preserve"> REA</w:t>
      </w:r>
      <w:r>
        <w:t xml:space="preserve"> found that</w:t>
      </w:r>
      <w:r w:rsidR="006E6856">
        <w:t xml:space="preserve"> there is </w:t>
      </w:r>
      <w:bookmarkStart w:id="75" w:name="_Int_bJZ1ksRF"/>
      <w:r w:rsidR="006E6856">
        <w:t>very limited</w:t>
      </w:r>
      <w:bookmarkEnd w:id="75"/>
      <w:r w:rsidR="006E6856">
        <w:t xml:space="preserve"> literature </w:t>
      </w:r>
      <w:r w:rsidR="00547465">
        <w:t xml:space="preserve">on the reasoning behind </w:t>
      </w:r>
      <w:r w:rsidR="006E6856">
        <w:t>us</w:t>
      </w:r>
      <w:r w:rsidR="00547465">
        <w:t>ing</w:t>
      </w:r>
      <w:r w:rsidR="006E6856">
        <w:t xml:space="preserve"> </w:t>
      </w:r>
      <w:r w:rsidR="002E4C49">
        <w:t>FFS</w:t>
      </w:r>
      <w:r w:rsidR="006E6856">
        <w:t xml:space="preserve"> in </w:t>
      </w:r>
      <w:r w:rsidR="00C45DA5">
        <w:t xml:space="preserve">the </w:t>
      </w:r>
      <w:r w:rsidR="006E6856">
        <w:t>UK. This contracting approach has been primarily discussed in outcomes contracting literature where the model has been widely criticised for rewarding providers for the volume and quantity of services delivered, regardless of the quality or outcome of services delivered (Charlesworth et al., 2012).</w:t>
      </w:r>
    </w:p>
    <w:p w14:paraId="75765C69" w14:textId="1DD8B0F4" w:rsidR="006E6856" w:rsidRDefault="006E6856" w:rsidP="006E6856">
      <w:pPr>
        <w:pStyle w:val="EcorysBody"/>
      </w:pPr>
      <w:r>
        <w:t xml:space="preserve">When this was raised in the </w:t>
      </w:r>
      <w:r w:rsidR="00933D26">
        <w:t>qualitative research</w:t>
      </w:r>
      <w:r w:rsidR="008A28F8">
        <w:t>,</w:t>
      </w:r>
      <w:r>
        <w:t xml:space="preserve"> commissioners </w:t>
      </w:r>
      <w:r w:rsidR="00984E88">
        <w:t xml:space="preserve">noted </w:t>
      </w:r>
      <w:r>
        <w:t xml:space="preserve">that unless there was sufficient external financial incentives or personal desire to try something innovative, alternative contracting approaches were rarely considered. It was perceived that as FFS is the default option for </w:t>
      </w:r>
      <w:r w:rsidR="008A28F8">
        <w:t>LA</w:t>
      </w:r>
      <w:r w:rsidR="00FE5616">
        <w:t>s</w:t>
      </w:r>
      <w:r>
        <w:t xml:space="preserve"> </w:t>
      </w:r>
      <w:r w:rsidR="008A28F8">
        <w:t>when</w:t>
      </w:r>
      <w:r>
        <w:t xml:space="preserve"> commissioni</w:t>
      </w:r>
      <w:r w:rsidR="008A28F8">
        <w:t xml:space="preserve">ng </w:t>
      </w:r>
      <w:r>
        <w:t>services,</w:t>
      </w:r>
      <w:r w:rsidR="00FE5616">
        <w:t xml:space="preserve"> as</w:t>
      </w:r>
      <w:r>
        <w:t xml:space="preserve"> it </w:t>
      </w:r>
      <w:r w:rsidR="00FE5616">
        <w:t>i</w:t>
      </w:r>
      <w:r>
        <w:t xml:space="preserve">s seen as cheaper and quicker to just follow normal processes. </w:t>
      </w:r>
      <w:r w:rsidR="00931871">
        <w:t>The</w:t>
      </w:r>
      <w:r w:rsidR="00C95807">
        <w:t xml:space="preserve"> available</w:t>
      </w:r>
      <w:r w:rsidR="00931871">
        <w:t xml:space="preserve"> evidence therefore </w:t>
      </w:r>
      <w:r w:rsidR="00C95807">
        <w:t>indicates</w:t>
      </w:r>
      <w:r w:rsidR="00931871">
        <w:t xml:space="preserve"> that </w:t>
      </w:r>
      <w:r w:rsidR="00931871">
        <w:rPr>
          <w:rStyle w:val="ui-provider"/>
        </w:rPr>
        <w:t xml:space="preserve">when commissioners use FFS, </w:t>
      </w:r>
      <w:r w:rsidR="00931871" w:rsidRPr="00931871">
        <w:rPr>
          <w:rStyle w:val="ui-provider"/>
          <w:b/>
          <w:bCs/>
        </w:rPr>
        <w:t>the PESTLE factors</w:t>
      </w:r>
      <w:r w:rsidR="00931871">
        <w:rPr>
          <w:rStyle w:val="ui-provider"/>
        </w:rPr>
        <w:t xml:space="preserve"> </w:t>
      </w:r>
      <w:r w:rsidR="00A96CAF">
        <w:rPr>
          <w:rStyle w:val="ui-provider"/>
        </w:rPr>
        <w:t xml:space="preserve">often </w:t>
      </w:r>
      <w:r w:rsidR="00931871">
        <w:rPr>
          <w:rStyle w:val="ui-provider"/>
        </w:rPr>
        <w:t>do not factor in their decision</w:t>
      </w:r>
      <w:r w:rsidR="00C95807">
        <w:rPr>
          <w:rStyle w:val="ui-provider"/>
        </w:rPr>
        <w:t>-</w:t>
      </w:r>
      <w:r w:rsidR="00931871">
        <w:rPr>
          <w:rStyle w:val="ui-provider"/>
        </w:rPr>
        <w:t>making.</w:t>
      </w:r>
    </w:p>
    <w:p w14:paraId="4BFFA75B" w14:textId="77777777" w:rsidR="006E6856" w:rsidRDefault="006E6856">
      <w:pPr>
        <w:rPr>
          <w:rFonts w:ascii="Open Sans Light" w:hAnsi="Open Sans Light" w:cs="Open Sans Light"/>
          <w:color w:val="auto"/>
          <w:sz w:val="18"/>
          <w:szCs w:val="20"/>
        </w:rPr>
      </w:pPr>
      <w:r>
        <w:br w:type="page"/>
      </w:r>
    </w:p>
    <w:p w14:paraId="281EECD2" w14:textId="28F59915" w:rsidR="00325D0C" w:rsidRDefault="00325D0C" w:rsidP="00325D0C">
      <w:pPr>
        <w:pStyle w:val="Heading1"/>
      </w:pPr>
      <w:bookmarkStart w:id="76" w:name="_Toc167437679"/>
      <w:r>
        <w:lastRenderedPageBreak/>
        <w:t>Implication of these factors for commissioning Social Impact Bonds</w:t>
      </w:r>
      <w:bookmarkEnd w:id="76"/>
    </w:p>
    <w:p w14:paraId="5D4C5E54" w14:textId="77777777" w:rsidR="006E6856" w:rsidRDefault="006E6856" w:rsidP="006E6856">
      <w:pPr>
        <w:pStyle w:val="EcorysSectionLevel02"/>
        <w:numPr>
          <w:ilvl w:val="1"/>
          <w:numId w:val="33"/>
        </w:numPr>
      </w:pPr>
      <w:bookmarkStart w:id="77" w:name="_Toc167437680"/>
      <w:r>
        <w:t>Overall context – primacy of economic factors</w:t>
      </w:r>
      <w:bookmarkEnd w:id="77"/>
    </w:p>
    <w:p w14:paraId="55CBB500" w14:textId="49DDEACC" w:rsidR="006E6856" w:rsidRDefault="006E6856" w:rsidP="006E6856">
      <w:pPr>
        <w:pStyle w:val="EcorysBody"/>
      </w:pPr>
      <w:r>
        <w:t xml:space="preserve">Both the REA and </w:t>
      </w:r>
      <w:r w:rsidR="00696D11">
        <w:t>qualitative research</w:t>
      </w:r>
      <w:r>
        <w:t xml:space="preserve"> show that economic factors are driving commissioning decisions much more than other considerations. The pressures on local authority and health budgets observed in the literature appear to have become even more prominent in the last two years and the </w:t>
      </w:r>
      <w:r w:rsidR="003222CD">
        <w:t>primary research</w:t>
      </w:r>
      <w:r>
        <w:t xml:space="preserve"> highlight</w:t>
      </w:r>
      <w:r w:rsidR="003222CD">
        <w:t>ed</w:t>
      </w:r>
      <w:r>
        <w:t xml:space="preserve"> the extent to which ever tighter budgets have driven decisions both towards and away from the commissioning of SIBs</w:t>
      </w:r>
      <w:r w:rsidR="63833B1E">
        <w:t xml:space="preserve">. </w:t>
      </w:r>
      <w:r>
        <w:t>In two cases</w:t>
      </w:r>
      <w:r w:rsidR="003222CD">
        <w:t>,</w:t>
      </w:r>
      <w:r>
        <w:t xml:space="preserve"> the </w:t>
      </w:r>
      <w:r w:rsidR="00080C12">
        <w:t>reason for going down an outcomes-based contracting route was</w:t>
      </w:r>
      <w:r>
        <w:t xml:space="preserve"> explicitly because of the availability of top-up funding from The National Lottery Community Fund</w:t>
      </w:r>
      <w:r w:rsidR="005E499F">
        <w:t xml:space="preserve">, </w:t>
      </w:r>
      <w:r>
        <w:t>while in a third</w:t>
      </w:r>
      <w:r w:rsidR="003222CD">
        <w:t>,</w:t>
      </w:r>
      <w:r>
        <w:t xml:space="preserve"> </w:t>
      </w:r>
      <w:r w:rsidR="00544F2E">
        <w:t xml:space="preserve">top-up funding was also a factor </w:t>
      </w:r>
      <w:r w:rsidR="00822053">
        <w:t xml:space="preserve">but </w:t>
      </w:r>
      <w:r>
        <w:t>the impetus for commissioning a</w:t>
      </w:r>
      <w:r w:rsidR="00080C12">
        <w:t>n outcomes contract</w:t>
      </w:r>
      <w:r>
        <w:t xml:space="preserve"> was </w:t>
      </w:r>
      <w:r w:rsidR="00822053">
        <w:t xml:space="preserve">more directly </w:t>
      </w:r>
      <w:r>
        <w:t>financial – the prospect of generating future savings that would pay for the initial intervention in a textbook “invest to save” model.  Conversely</w:t>
      </w:r>
      <w:r w:rsidR="006E1365">
        <w:t>,</w:t>
      </w:r>
      <w:r>
        <w:t xml:space="preserve"> the commissioner who chose an alliance contract did so to give them maximum control over a budget for the contract that was likely to decrease, while </w:t>
      </w:r>
      <w:r w:rsidR="00361D34">
        <w:t>another commissioner</w:t>
      </w:r>
      <w:r>
        <w:t xml:space="preserve"> admitted that budgetary pressure was driving decisions that often led to a fee for service approach, because it was likely (or perceived) to be quickest to implement, to deliver lowest cost, and would be familiar to both commissioners and service managers (that is</w:t>
      </w:r>
      <w:r w:rsidR="00530F89">
        <w:t xml:space="preserve">, as one commissioner stated, </w:t>
      </w:r>
      <w:r>
        <w:t xml:space="preserve"> ”quick, cheap and default”). Budget pressures have also impacted on the capacity of commissioners (whose own resources have been cut) to make well</w:t>
      </w:r>
      <w:r w:rsidR="00361D34">
        <w:t>-</w:t>
      </w:r>
      <w:r>
        <w:t>researched decisions and manage the additional complexity and cost of more innovative approaches, whether SIB or alliance contract.</w:t>
      </w:r>
    </w:p>
    <w:p w14:paraId="02EB9DD7" w14:textId="77777777" w:rsidR="006E6856" w:rsidRDefault="006E6856" w:rsidP="006E6856">
      <w:pPr>
        <w:pStyle w:val="EcorysBody"/>
      </w:pPr>
      <w:r>
        <w:t>This overall economic context has three important implications for commissioners considering a SIB:</w:t>
      </w:r>
    </w:p>
    <w:p w14:paraId="2412F69B" w14:textId="77777777" w:rsidR="006E6856" w:rsidRDefault="006E6856" w:rsidP="006E6856">
      <w:pPr>
        <w:pStyle w:val="EcorysBullet01"/>
        <w:numPr>
          <w:ilvl w:val="0"/>
          <w:numId w:val="34"/>
        </w:numPr>
        <w:ind w:left="568" w:hanging="284"/>
      </w:pPr>
      <w:r>
        <w:t>Economic benefits need to be assessed very carefully.</w:t>
      </w:r>
    </w:p>
    <w:p w14:paraId="068B6651" w14:textId="77777777" w:rsidR="006E6856" w:rsidRDefault="006E6856" w:rsidP="006E6856">
      <w:pPr>
        <w:pStyle w:val="EcorysBullet01"/>
        <w:numPr>
          <w:ilvl w:val="0"/>
          <w:numId w:val="34"/>
        </w:numPr>
        <w:ind w:left="568" w:hanging="284"/>
      </w:pPr>
      <w:r>
        <w:t>Political and sociological factors need to be appropriately weighted.</w:t>
      </w:r>
    </w:p>
    <w:p w14:paraId="2CE0D8EA" w14:textId="77777777" w:rsidR="006E6856" w:rsidRDefault="006E6856" w:rsidP="006E6856">
      <w:pPr>
        <w:pStyle w:val="EcorysBullet01"/>
        <w:numPr>
          <w:ilvl w:val="0"/>
          <w:numId w:val="34"/>
        </w:numPr>
        <w:ind w:left="568" w:hanging="284"/>
      </w:pPr>
      <w:r>
        <w:t>All options need to be fully appraised.</w:t>
      </w:r>
    </w:p>
    <w:p w14:paraId="48EE5848" w14:textId="77777777" w:rsidR="006E6856" w:rsidRDefault="006E6856" w:rsidP="006E6856">
      <w:pPr>
        <w:pStyle w:val="EcorysSectionLevel02"/>
        <w:numPr>
          <w:ilvl w:val="1"/>
          <w:numId w:val="33"/>
        </w:numPr>
      </w:pPr>
      <w:bookmarkStart w:id="78" w:name="_Toc167437681"/>
      <w:r>
        <w:t>Assessing the economic benefits of a SIB</w:t>
      </w:r>
      <w:bookmarkEnd w:id="78"/>
      <w:r>
        <w:t xml:space="preserve"> </w:t>
      </w:r>
    </w:p>
    <w:p w14:paraId="7ABDA2BC" w14:textId="1FA6960A" w:rsidR="006E6856" w:rsidRDefault="006E6856" w:rsidP="006E6856">
      <w:pPr>
        <w:pStyle w:val="EcorysBody"/>
      </w:pPr>
      <w:bookmarkStart w:id="79" w:name="_Hlk158974551"/>
      <w:r>
        <w:t xml:space="preserve">A major issue for the </w:t>
      </w:r>
      <w:r w:rsidR="00CF68D6">
        <w:t>LAs in our research</w:t>
      </w:r>
      <w:r>
        <w:t xml:space="preserve"> that adopted </w:t>
      </w:r>
      <w:r w:rsidR="00080C12">
        <w:t>an outcomes-based contract</w:t>
      </w:r>
      <w:r>
        <w:t xml:space="preserve"> was the availability of top-up funding, and if similar funding becomes available again it will </w:t>
      </w:r>
      <w:bookmarkStart w:id="80" w:name="_Int_h2ThaI4X"/>
      <w:r>
        <w:t>likely influence</w:t>
      </w:r>
      <w:bookmarkEnd w:id="80"/>
      <w:r>
        <w:t xml:space="preserve"> decisions in the same way. In the absence of such funding (as </w:t>
      </w:r>
      <w:r w:rsidR="00FC0560">
        <w:t>at the time of reporting</w:t>
      </w:r>
      <w:r>
        <w:t>)</w:t>
      </w:r>
      <w:r w:rsidR="003D4604">
        <w:t>, based on our research findings,</w:t>
      </w:r>
      <w:r>
        <w:t xml:space="preserve"> the most important financial questions for a commissioner contemplating a SIB appear to be:</w:t>
      </w:r>
    </w:p>
    <w:bookmarkEnd w:id="79"/>
    <w:p w14:paraId="58190BAB" w14:textId="65220C40" w:rsidR="006E6856" w:rsidRPr="00E0010A" w:rsidRDefault="006E6856" w:rsidP="00E0010A">
      <w:pPr>
        <w:pStyle w:val="EcorysBullet01"/>
        <w:rPr>
          <w:rStyle w:val="EcorysBold"/>
          <w:b w:val="0"/>
        </w:rPr>
      </w:pPr>
      <w:r w:rsidRPr="6002C6A8">
        <w:rPr>
          <w:rStyle w:val="EcorysBold"/>
        </w:rPr>
        <w:t>Are savings estimates robust, and likely to deliver the type of benefit needed?</w:t>
      </w:r>
      <w:r w:rsidRPr="6002C6A8">
        <w:rPr>
          <w:rStyle w:val="EcorysBold"/>
          <w:b w:val="0"/>
        </w:rPr>
        <w:t xml:space="preserve"> If an ‘invest to save’ case is behind the decision to pursue a SIB</w:t>
      </w:r>
      <w:r w:rsidR="00FC0560" w:rsidRPr="6002C6A8">
        <w:rPr>
          <w:rStyle w:val="EcorysBold"/>
          <w:b w:val="0"/>
        </w:rPr>
        <w:t>,</w:t>
      </w:r>
      <w:r w:rsidRPr="6002C6A8">
        <w:rPr>
          <w:rStyle w:val="EcorysBold"/>
          <w:b w:val="0"/>
        </w:rPr>
        <w:t xml:space="preserve"> the commissioner needs to look very carefully at the scale of savings forecast, what evidence supports that forecast, and how likely it is that benefit will be lower than forecast (for example because fewer outcomes are achieved)</w:t>
      </w:r>
      <w:r w:rsidR="18E56471" w:rsidRPr="6002C6A8">
        <w:rPr>
          <w:rStyle w:val="EcorysBold"/>
          <w:b w:val="0"/>
        </w:rPr>
        <w:t xml:space="preserve">. </w:t>
      </w:r>
      <w:r w:rsidRPr="6002C6A8">
        <w:rPr>
          <w:rStyle w:val="EcorysBold"/>
          <w:b w:val="0"/>
        </w:rPr>
        <w:t>Secondly, they need to be certain that the financial benefits, if achievable, will truly pay for the service. This is a decision that only a local commissioner can make because some will expect the savings to be truly cashable, with existing services decommissioned</w:t>
      </w:r>
      <w:r w:rsidR="00080C12" w:rsidRPr="6002C6A8">
        <w:rPr>
          <w:rStyle w:val="EcorysBold"/>
          <w:b w:val="0"/>
        </w:rPr>
        <w:t xml:space="preserve"> because they are no longer needed</w:t>
      </w:r>
      <w:r w:rsidRPr="6002C6A8">
        <w:rPr>
          <w:rStyle w:val="EcorysBold"/>
          <w:b w:val="0"/>
        </w:rPr>
        <w:t>; while others will be content with future “avoided costs” that release capacity.</w:t>
      </w:r>
    </w:p>
    <w:p w14:paraId="53E1853F" w14:textId="053B1C3C" w:rsidR="006E6856" w:rsidRPr="00E0010A" w:rsidRDefault="006E6856" w:rsidP="00E0010A">
      <w:pPr>
        <w:pStyle w:val="EcorysBullet01"/>
        <w:rPr>
          <w:rStyle w:val="EcorysBold"/>
          <w:b w:val="0"/>
        </w:rPr>
      </w:pPr>
      <w:r w:rsidRPr="6002C6A8">
        <w:rPr>
          <w:rStyle w:val="EcorysBold"/>
        </w:rPr>
        <w:t>How do the costs of a SIB compare with alternative commissioning models</w:t>
      </w:r>
      <w:r w:rsidR="4B9FE90B" w:rsidRPr="6002C6A8">
        <w:rPr>
          <w:rStyle w:val="EcorysBold"/>
        </w:rPr>
        <w:t xml:space="preserve">? </w:t>
      </w:r>
      <w:r w:rsidRPr="6002C6A8">
        <w:rPr>
          <w:rStyle w:val="EcorysBold"/>
          <w:b w:val="0"/>
        </w:rPr>
        <w:t xml:space="preserve">As both the REA </w:t>
      </w:r>
      <w:r w:rsidR="00901290" w:rsidRPr="6002C6A8">
        <w:rPr>
          <w:rStyle w:val="EcorysBold"/>
          <w:b w:val="0"/>
        </w:rPr>
        <w:t>primary research</w:t>
      </w:r>
      <w:r w:rsidRPr="6002C6A8">
        <w:rPr>
          <w:rStyle w:val="EcorysBold"/>
          <w:b w:val="0"/>
        </w:rPr>
        <w:t xml:space="preserve"> indicate, all other things being equal</w:t>
      </w:r>
      <w:r w:rsidR="00901290" w:rsidRPr="6002C6A8">
        <w:rPr>
          <w:rStyle w:val="EcorysBold"/>
          <w:b w:val="0"/>
        </w:rPr>
        <w:t>,</w:t>
      </w:r>
      <w:r w:rsidRPr="6002C6A8">
        <w:rPr>
          <w:rStyle w:val="EcorysBold"/>
          <w:b w:val="0"/>
        </w:rPr>
        <w:t xml:space="preserve"> a SIB will cost </w:t>
      </w:r>
      <w:r w:rsidR="00080C12" w:rsidRPr="6002C6A8">
        <w:rPr>
          <w:rStyle w:val="EcorysBold"/>
          <w:b w:val="0"/>
        </w:rPr>
        <w:t xml:space="preserve">commissioners </w:t>
      </w:r>
      <w:r w:rsidRPr="6002C6A8">
        <w:rPr>
          <w:rStyle w:val="EcorysBold"/>
          <w:b w:val="0"/>
        </w:rPr>
        <w:t xml:space="preserve">more </w:t>
      </w:r>
      <w:r w:rsidR="00080C12" w:rsidRPr="6002C6A8">
        <w:rPr>
          <w:rStyle w:val="EcorysBold"/>
          <w:b w:val="0"/>
        </w:rPr>
        <w:t>to set up</w:t>
      </w:r>
      <w:r w:rsidRPr="6002C6A8">
        <w:rPr>
          <w:rStyle w:val="EcorysBold"/>
          <w:b w:val="0"/>
        </w:rPr>
        <w:t xml:space="preserve"> than </w:t>
      </w:r>
      <w:r w:rsidR="63FB92DC" w:rsidRPr="6002C6A8">
        <w:rPr>
          <w:rStyle w:val="EcorysBold"/>
          <w:b w:val="0"/>
        </w:rPr>
        <w:t>an</w:t>
      </w:r>
      <w:r w:rsidRPr="6002C6A8">
        <w:rPr>
          <w:rStyle w:val="EcorysBold"/>
          <w:b w:val="0"/>
        </w:rPr>
        <w:t xml:space="preserve"> </w:t>
      </w:r>
      <w:r w:rsidR="0047072F" w:rsidRPr="6002C6A8">
        <w:rPr>
          <w:rStyle w:val="EcorysBold"/>
          <w:b w:val="0"/>
        </w:rPr>
        <w:t>FFS</w:t>
      </w:r>
      <w:r w:rsidRPr="6002C6A8">
        <w:rPr>
          <w:rStyle w:val="EcorysBold"/>
          <w:b w:val="0"/>
        </w:rPr>
        <w:t xml:space="preserve"> approach</w:t>
      </w:r>
      <w:r w:rsidR="00BD66B5" w:rsidRPr="6002C6A8">
        <w:rPr>
          <w:rStyle w:val="EcorysBold"/>
          <w:b w:val="0"/>
        </w:rPr>
        <w:t>,</w:t>
      </w:r>
      <w:r w:rsidRPr="6002C6A8">
        <w:rPr>
          <w:rStyle w:val="EcorysBold"/>
          <w:b w:val="0"/>
        </w:rPr>
        <w:t xml:space="preserve"> with an </w:t>
      </w:r>
      <w:r w:rsidR="00BD66B5" w:rsidRPr="6002C6A8">
        <w:rPr>
          <w:rStyle w:val="EcorysBold"/>
          <w:b w:val="0"/>
        </w:rPr>
        <w:t>a</w:t>
      </w:r>
      <w:r w:rsidRPr="6002C6A8">
        <w:rPr>
          <w:rStyle w:val="EcorysBold"/>
          <w:b w:val="0"/>
        </w:rPr>
        <w:t>lliance contract likely to be somewhere in-between</w:t>
      </w:r>
      <w:r w:rsidR="4199298F" w:rsidRPr="6002C6A8">
        <w:rPr>
          <w:rStyle w:val="EcorysBold"/>
          <w:b w:val="0"/>
        </w:rPr>
        <w:t xml:space="preserve">. </w:t>
      </w:r>
      <w:r w:rsidRPr="6002C6A8">
        <w:rPr>
          <w:rStyle w:val="EcorysBold"/>
          <w:b w:val="0"/>
        </w:rPr>
        <w:t xml:space="preserve">A simplistic comparison will therefore favour </w:t>
      </w:r>
      <w:r w:rsidR="0047072F" w:rsidRPr="6002C6A8">
        <w:rPr>
          <w:rStyle w:val="EcorysBold"/>
          <w:b w:val="0"/>
        </w:rPr>
        <w:t>FFS</w:t>
      </w:r>
      <w:r w:rsidRPr="6002C6A8">
        <w:rPr>
          <w:rStyle w:val="EcorysBold"/>
          <w:b w:val="0"/>
        </w:rPr>
        <w:t xml:space="preserve"> or </w:t>
      </w:r>
      <w:r w:rsidR="00BD66B5" w:rsidRPr="6002C6A8">
        <w:rPr>
          <w:rStyle w:val="EcorysBold"/>
          <w:b w:val="0"/>
        </w:rPr>
        <w:t>a</w:t>
      </w:r>
      <w:r w:rsidRPr="6002C6A8">
        <w:rPr>
          <w:rStyle w:val="EcorysBold"/>
          <w:b w:val="0"/>
        </w:rPr>
        <w:t>lliance over a SIB; but as the REA indicates</w:t>
      </w:r>
      <w:r w:rsidR="00D421A7" w:rsidRPr="6002C6A8">
        <w:rPr>
          <w:rStyle w:val="EcorysBold"/>
          <w:b w:val="0"/>
        </w:rPr>
        <w:t>,</w:t>
      </w:r>
      <w:r w:rsidRPr="6002C6A8">
        <w:rPr>
          <w:rStyle w:val="EcorysBold"/>
          <w:b w:val="0"/>
        </w:rPr>
        <w:t xml:space="preserve"> outcomes-based approaches can be </w:t>
      </w:r>
      <w:r w:rsidRPr="6002C6A8">
        <w:rPr>
          <w:rStyle w:val="EcorysBold"/>
          <w:b w:val="0"/>
        </w:rPr>
        <w:lastRenderedPageBreak/>
        <w:t>more attractive because reimbursement is conditional upon providers delivering agreed outcomes. The SIB will thus be cheaper, at least in cost</w:t>
      </w:r>
      <w:r w:rsidR="00FE31B6" w:rsidRPr="6002C6A8">
        <w:rPr>
          <w:rStyle w:val="EcorysBold"/>
          <w:b w:val="0"/>
        </w:rPr>
        <w:t>-</w:t>
      </w:r>
      <w:r w:rsidRPr="6002C6A8">
        <w:rPr>
          <w:rStyle w:val="EcorysBold"/>
          <w:b w:val="0"/>
        </w:rPr>
        <w:t>per</w:t>
      </w:r>
      <w:r w:rsidR="00FE31B6" w:rsidRPr="6002C6A8">
        <w:rPr>
          <w:rStyle w:val="EcorysBold"/>
          <w:b w:val="0"/>
        </w:rPr>
        <w:t>-</w:t>
      </w:r>
      <w:r w:rsidRPr="6002C6A8">
        <w:rPr>
          <w:rStyle w:val="EcorysBold"/>
          <w:b w:val="0"/>
        </w:rPr>
        <w:t>outcome, if there is significant risk of fewer outcomes than projected being achieved (and provided that the commissioner is paying only for outcomes achieved).</w:t>
      </w:r>
      <w:r w:rsidR="0009504C" w:rsidRPr="6002C6A8">
        <w:rPr>
          <w:rStyle w:val="EcorysBold"/>
          <w:b w:val="0"/>
        </w:rPr>
        <w:t xml:space="preserve"> This does</w:t>
      </w:r>
      <w:r w:rsidR="00FE31B6" w:rsidRPr="6002C6A8">
        <w:rPr>
          <w:rStyle w:val="EcorysBold"/>
          <w:b w:val="0"/>
        </w:rPr>
        <w:t>,</w:t>
      </w:r>
      <w:r w:rsidR="0009504C" w:rsidRPr="6002C6A8">
        <w:rPr>
          <w:rStyle w:val="EcorysBold"/>
          <w:b w:val="0"/>
        </w:rPr>
        <w:t xml:space="preserve"> however</w:t>
      </w:r>
      <w:r w:rsidR="00FE31B6" w:rsidRPr="6002C6A8">
        <w:rPr>
          <w:rStyle w:val="EcorysBold"/>
          <w:b w:val="0"/>
        </w:rPr>
        <w:t>,</w:t>
      </w:r>
      <w:r w:rsidR="0009504C" w:rsidRPr="6002C6A8">
        <w:rPr>
          <w:rStyle w:val="EcorysBold"/>
          <w:b w:val="0"/>
        </w:rPr>
        <w:t xml:space="preserve"> assume that the commissioners have compared the costs of different commissioning approaches, which the </w:t>
      </w:r>
      <w:r w:rsidR="00FE31B6" w:rsidRPr="6002C6A8">
        <w:rPr>
          <w:rStyle w:val="EcorysBold"/>
          <w:b w:val="0"/>
        </w:rPr>
        <w:t>primary</w:t>
      </w:r>
      <w:r w:rsidR="0009504C" w:rsidRPr="6002C6A8">
        <w:rPr>
          <w:rStyle w:val="EcorysBold"/>
          <w:b w:val="0"/>
        </w:rPr>
        <w:t xml:space="preserve"> research suggest</w:t>
      </w:r>
      <w:r w:rsidR="00FE31B6" w:rsidRPr="6002C6A8">
        <w:rPr>
          <w:rStyle w:val="EcorysBold"/>
          <w:b w:val="0"/>
        </w:rPr>
        <w:t>ed</w:t>
      </w:r>
      <w:r w:rsidR="0009504C" w:rsidRPr="6002C6A8">
        <w:rPr>
          <w:rStyle w:val="EcorysBold"/>
          <w:b w:val="0"/>
        </w:rPr>
        <w:t xml:space="preserve"> is not always the case.</w:t>
      </w:r>
    </w:p>
    <w:p w14:paraId="0DC1B1D5" w14:textId="1D97473B" w:rsidR="006E6856" w:rsidRDefault="006E6856" w:rsidP="00E0010A">
      <w:pPr>
        <w:pStyle w:val="EcorysBullet01"/>
      </w:pPr>
      <w:r w:rsidRPr="0090384D">
        <w:rPr>
          <w:rStyle w:val="EcorysBold"/>
          <w:bCs/>
        </w:rPr>
        <w:t>How much can the commissioner a</w:t>
      </w:r>
      <w:r w:rsidRPr="0090384D">
        <w:rPr>
          <w:b/>
        </w:rPr>
        <w:t>fford to pay?</w:t>
      </w:r>
      <w:r w:rsidRPr="00E0010A">
        <w:rPr>
          <w:bCs/>
        </w:rPr>
        <w:t xml:space="preserve"> In one </w:t>
      </w:r>
      <w:r w:rsidR="00FE31B6">
        <w:rPr>
          <w:bCs/>
        </w:rPr>
        <w:t>LA</w:t>
      </w:r>
      <w:r w:rsidRPr="00E0010A">
        <w:rPr>
          <w:bCs/>
        </w:rPr>
        <w:t xml:space="preserve"> the commissioner</w:t>
      </w:r>
      <w:r w:rsidR="00DB5431">
        <w:rPr>
          <w:bCs/>
        </w:rPr>
        <w:t xml:space="preserve"> interviewed</w:t>
      </w:r>
      <w:r w:rsidRPr="00E0010A">
        <w:rPr>
          <w:bCs/>
        </w:rPr>
        <w:t xml:space="preserve"> chose an </w:t>
      </w:r>
      <w:r w:rsidR="00DB5431">
        <w:rPr>
          <w:bCs/>
        </w:rPr>
        <w:t>a</w:t>
      </w:r>
      <w:r w:rsidRPr="00E0010A">
        <w:rPr>
          <w:bCs/>
        </w:rPr>
        <w:t>lliance contract because they feared further reductions in available budget and loss of control of future outcome payments under a SIB. This could have been addressed</w:t>
      </w:r>
      <w:r>
        <w:t>, however, by setting a so-called ‘outcomes cap</w:t>
      </w:r>
      <w:r w:rsidR="00DB5431">
        <w:t>’</w:t>
      </w:r>
      <w:r>
        <w:t xml:space="preserve"> on the maximum amount that the commissioner would pay, based on budget available.</w:t>
      </w:r>
    </w:p>
    <w:p w14:paraId="5ACFFA17" w14:textId="19AC1535" w:rsidR="006E6856" w:rsidRDefault="006E6856" w:rsidP="006E6856">
      <w:pPr>
        <w:pStyle w:val="EcorysSectionLevel02"/>
        <w:numPr>
          <w:ilvl w:val="1"/>
          <w:numId w:val="33"/>
        </w:numPr>
      </w:pPr>
      <w:bookmarkStart w:id="81" w:name="_Toc167437682"/>
      <w:r>
        <w:t>Weighing political and sociological factors</w:t>
      </w:r>
      <w:bookmarkEnd w:id="81"/>
    </w:p>
    <w:p w14:paraId="77BA29A8" w14:textId="4F947395" w:rsidR="006E6856" w:rsidRDefault="006E6856" w:rsidP="006E6856">
      <w:pPr>
        <w:pStyle w:val="EcorysBody"/>
      </w:pPr>
      <w:r>
        <w:t xml:space="preserve">Both the REA and </w:t>
      </w:r>
      <w:r w:rsidR="00DB5431">
        <w:t>primary research</w:t>
      </w:r>
      <w:r>
        <w:t xml:space="preserve"> also show that economic decisions cannot be considered in isolation, and political and sociological factors also need to be considered. The evidence suggests that the most important considerations are to:</w:t>
      </w:r>
    </w:p>
    <w:p w14:paraId="3BDD020D" w14:textId="60789262" w:rsidR="006E6856" w:rsidRDefault="006E6856" w:rsidP="006E6856">
      <w:pPr>
        <w:pStyle w:val="EcorysBullet01"/>
        <w:numPr>
          <w:ilvl w:val="0"/>
          <w:numId w:val="34"/>
        </w:numPr>
        <w:ind w:left="568" w:hanging="284"/>
      </w:pPr>
      <w:r w:rsidRPr="6002C6A8">
        <w:rPr>
          <w:b/>
          <w:bCs/>
        </w:rPr>
        <w:t>Understand and address misconceptions that might affect policy</w:t>
      </w:r>
      <w:r w:rsidR="478608A4" w:rsidRPr="6002C6A8">
        <w:rPr>
          <w:b/>
          <w:bCs/>
        </w:rPr>
        <w:t xml:space="preserve">. </w:t>
      </w:r>
      <w:r>
        <w:t xml:space="preserve">For </w:t>
      </w:r>
      <w:r w:rsidR="009E0029">
        <w:t>example,</w:t>
      </w:r>
      <w:r>
        <w:t xml:space="preserve"> </w:t>
      </w:r>
      <w:r w:rsidR="00003941">
        <w:t xml:space="preserve">in one LA, an interviewee highlighted that </w:t>
      </w:r>
      <w:r>
        <w:t xml:space="preserve">SIBs were viewed with suspicion because of commissioners’ adverse experience of private equity involvement in areas such as fostering and children’s residential care. </w:t>
      </w:r>
      <w:bookmarkStart w:id="82" w:name="_Hlk159491336"/>
      <w:r w:rsidR="009E0029">
        <w:t>However,</w:t>
      </w:r>
      <w:r>
        <w:t xml:space="preserve"> both service providers and </w:t>
      </w:r>
      <w:r w:rsidR="009E0029">
        <w:t>investors</w:t>
      </w:r>
      <w:r>
        <w:t xml:space="preserve"> in SIBs have </w:t>
      </w:r>
      <w:bookmarkStart w:id="83" w:name="_Int_yJa054FT"/>
      <w:r>
        <w:t>different characteristics</w:t>
      </w:r>
      <w:bookmarkEnd w:id="83"/>
      <w:r>
        <w:t xml:space="preserve"> and motivations, as identified in</w:t>
      </w:r>
      <w:r w:rsidR="009331F4">
        <w:t xml:space="preserve">, for example, </w:t>
      </w:r>
      <w:r>
        <w:t xml:space="preserve">Carter </w:t>
      </w:r>
      <w:r w:rsidR="008B2587">
        <w:t>et al. (2018).</w:t>
      </w:r>
      <w:bookmarkEnd w:id="82"/>
      <w:r>
        <w:t xml:space="preserve"> Equally, a perception that SIBs are attractive because they offer ‘free money’ (as identified as a concern in </w:t>
      </w:r>
      <w:r w:rsidR="00885EAE">
        <w:t>one LA involved in our research</w:t>
      </w:r>
      <w:r>
        <w:t>) needs to be equally challenged from the other direction</w:t>
      </w:r>
      <w:r w:rsidR="00080C12">
        <w:t xml:space="preserve">; investors provide initial capital which delays payment until outcomes occur, but it </w:t>
      </w:r>
      <w:bookmarkStart w:id="84" w:name="_Int_CKG24Uj4"/>
      <w:r w:rsidR="00080C12">
        <w:t>has to</w:t>
      </w:r>
      <w:bookmarkEnd w:id="84"/>
      <w:r w:rsidR="00080C12">
        <w:t xml:space="preserve"> be repaid, usually with a small return.</w:t>
      </w:r>
    </w:p>
    <w:p w14:paraId="28A4757B" w14:textId="5CBFB50D" w:rsidR="006E6856" w:rsidRDefault="006E6856" w:rsidP="006E6856">
      <w:pPr>
        <w:pStyle w:val="EcorysBullet01"/>
        <w:numPr>
          <w:ilvl w:val="0"/>
          <w:numId w:val="34"/>
        </w:numPr>
        <w:ind w:left="568" w:hanging="284"/>
      </w:pPr>
      <w:r w:rsidRPr="6002C6A8">
        <w:rPr>
          <w:b/>
          <w:bCs/>
        </w:rPr>
        <w:t xml:space="preserve">Identify the </w:t>
      </w:r>
      <w:bookmarkStart w:id="85" w:name="_Int_uIm5i9Ek"/>
      <w:r w:rsidRPr="6002C6A8">
        <w:rPr>
          <w:b/>
          <w:bCs/>
        </w:rPr>
        <w:t>likely intervention</w:t>
      </w:r>
      <w:bookmarkEnd w:id="85"/>
      <w:r>
        <w:t>. As noted above</w:t>
      </w:r>
      <w:r w:rsidR="00105DD1">
        <w:t>,</w:t>
      </w:r>
      <w:r>
        <w:t xml:space="preserve"> SIBs are potentially better value for money if the intervention is untried, since they transfer to providers and investors</w:t>
      </w:r>
      <w:r w:rsidR="0009504C">
        <w:t xml:space="preserve"> the risk that the intervention might not succeed</w:t>
      </w:r>
      <w:r w:rsidR="30EC896F">
        <w:t xml:space="preserve">. </w:t>
      </w:r>
      <w:r w:rsidR="0009504C">
        <w:t>Commissioners might not have the appetite for such risk th</w:t>
      </w:r>
      <w:r w:rsidR="008D47D4">
        <w:t>r</w:t>
      </w:r>
      <w:r w:rsidR="0009504C">
        <w:t xml:space="preserve">ough </w:t>
      </w:r>
      <w:r w:rsidR="7388DEFB">
        <w:t>an</w:t>
      </w:r>
      <w:r w:rsidR="0009504C">
        <w:t xml:space="preserve"> FFS or </w:t>
      </w:r>
      <w:r w:rsidR="008D47D4">
        <w:t>a</w:t>
      </w:r>
      <w:r w:rsidR="0009504C">
        <w:t>lliance model, where they need to pay regardless of success</w:t>
      </w:r>
      <w:r>
        <w:t xml:space="preserve">. If a high fidelity or evidence-based programme is proposed, therefore, the case for a SIB may be weaker (and the case for </w:t>
      </w:r>
      <w:r w:rsidR="0047072F">
        <w:t xml:space="preserve">FFS </w:t>
      </w:r>
      <w:r>
        <w:t>correspondingly stronger) provided the commissioner is confident in the ability of the provider to deliver the programme with high fidelity.</w:t>
      </w:r>
    </w:p>
    <w:p w14:paraId="2B4D2303" w14:textId="17B53A2A" w:rsidR="00704357" w:rsidRDefault="006E6856" w:rsidP="00D03A3A">
      <w:pPr>
        <w:pStyle w:val="EcorysBullet01"/>
      </w:pPr>
      <w:r w:rsidRPr="6002C6A8">
        <w:rPr>
          <w:b/>
          <w:bCs/>
        </w:rPr>
        <w:t xml:space="preserve">Identify the </w:t>
      </w:r>
      <w:bookmarkStart w:id="86" w:name="_Int_BLbKcc8l"/>
      <w:r w:rsidRPr="6002C6A8">
        <w:rPr>
          <w:b/>
          <w:bCs/>
        </w:rPr>
        <w:t>likely delivery</w:t>
      </w:r>
      <w:bookmarkEnd w:id="86"/>
      <w:r w:rsidRPr="6002C6A8">
        <w:rPr>
          <w:b/>
          <w:bCs/>
        </w:rPr>
        <w:t xml:space="preserve"> model.</w:t>
      </w:r>
      <w:r>
        <w:t xml:space="preserve"> Similarly, if the intervention is complex and needs either significant adaptation to</w:t>
      </w:r>
      <w:r w:rsidR="009054FB">
        <w:t xml:space="preserve"> respond to</w:t>
      </w:r>
      <w:r>
        <w:t xml:space="preserve"> complex user needs, or delivery by multiple providers working in collaboration, it becomes more challenging to deploy a </w:t>
      </w:r>
      <w:r w:rsidR="0047072F">
        <w:t>FFS</w:t>
      </w:r>
      <w:r>
        <w:t xml:space="preserve"> </w:t>
      </w:r>
      <w:r w:rsidR="00350FA4">
        <w:t xml:space="preserve">contract because both delivery activities and </w:t>
      </w:r>
      <w:r w:rsidR="00432B1E">
        <w:t>outputs</w:t>
      </w:r>
      <w:r w:rsidR="00350FA4">
        <w:t xml:space="preserve"> and the </w:t>
      </w:r>
      <w:r w:rsidR="00432B1E">
        <w:t>ro</w:t>
      </w:r>
      <w:r w:rsidR="00350FA4">
        <w:t>les of sub</w:t>
      </w:r>
      <w:r w:rsidR="00432B1E">
        <w:t>-</w:t>
      </w:r>
      <w:r w:rsidR="00350FA4">
        <w:t>c</w:t>
      </w:r>
      <w:r w:rsidR="00432B1E">
        <w:t>on</w:t>
      </w:r>
      <w:r w:rsidR="00350FA4">
        <w:t xml:space="preserve">tractors tend to be more </w:t>
      </w:r>
      <w:r w:rsidR="00432B1E">
        <w:t>prescribed</w:t>
      </w:r>
      <w:r w:rsidR="00350FA4">
        <w:t xml:space="preserve">, making it more </w:t>
      </w:r>
      <w:r w:rsidR="00432B1E">
        <w:t>difficult</w:t>
      </w:r>
      <w:r w:rsidR="00350FA4">
        <w:t xml:space="preserve"> (</w:t>
      </w:r>
      <w:r w:rsidR="00432B1E">
        <w:t>though</w:t>
      </w:r>
      <w:r w:rsidR="00350FA4">
        <w:t xml:space="preserve"> not necessarily impossible) to enable the </w:t>
      </w:r>
      <w:r w:rsidR="00432B1E">
        <w:t>flexibility</w:t>
      </w:r>
      <w:r w:rsidR="00350FA4">
        <w:t xml:space="preserve"> and </w:t>
      </w:r>
      <w:r w:rsidR="00432B1E">
        <w:t>adaptation</w:t>
      </w:r>
      <w:r w:rsidR="00350FA4">
        <w:t xml:space="preserve"> needed. In this </w:t>
      </w:r>
      <w:r w:rsidR="00432B1E">
        <w:t>situation</w:t>
      </w:r>
      <w:r w:rsidR="00350FA4">
        <w:t xml:space="preserve"> </w:t>
      </w:r>
      <w:r>
        <w:t xml:space="preserve">the benefits of a SIB approach </w:t>
      </w:r>
      <w:r w:rsidR="00350FA4">
        <w:t xml:space="preserve">may </w:t>
      </w:r>
      <w:r>
        <w:t>become more apparent</w:t>
      </w:r>
      <w:r w:rsidR="00350FA4">
        <w:t>, since as</w:t>
      </w:r>
      <w:r>
        <w:t xml:space="preserve"> the REA identifies</w:t>
      </w:r>
      <w:r w:rsidR="00E14971">
        <w:t>,</w:t>
      </w:r>
      <w:r>
        <w:t xml:space="preserve"> key advantages of SIBs include supporting</w:t>
      </w:r>
      <w:r w:rsidRPr="6002C6A8">
        <w:rPr>
          <w:b/>
          <w:bCs/>
        </w:rPr>
        <w:t xml:space="preserve"> </w:t>
      </w:r>
      <w:r>
        <w:t xml:space="preserve">effective collaboration to address a specific social </w:t>
      </w:r>
      <w:r w:rsidR="009E0029">
        <w:t>issue and</w:t>
      </w:r>
      <w:r>
        <w:t xml:space="preserve"> achieving more integrated services</w:t>
      </w:r>
      <w:r w:rsidR="63C6AD7F">
        <w:t xml:space="preserve">. </w:t>
      </w:r>
      <w:r w:rsidR="009E0029">
        <w:t>However,</w:t>
      </w:r>
      <w:r>
        <w:t xml:space="preserve"> these benefits could also be achieved through an </w:t>
      </w:r>
      <w:r w:rsidR="009A273B">
        <w:t>a</w:t>
      </w:r>
      <w:r>
        <w:t xml:space="preserve">lliance contract, as </w:t>
      </w:r>
      <w:r w:rsidR="009A273B">
        <w:t>our qualitative research</w:t>
      </w:r>
      <w:r>
        <w:t xml:space="preserve"> identified. </w:t>
      </w:r>
      <w:r w:rsidR="00E14971">
        <w:t>Therefore,</w:t>
      </w:r>
      <w:r w:rsidR="00350FA4">
        <w:t xml:space="preserve"> </w:t>
      </w:r>
      <w:r w:rsidR="00432B1E">
        <w:t>if the intervention is complex</w:t>
      </w:r>
      <w:r w:rsidR="009A273B">
        <w:t>,</w:t>
      </w:r>
      <w:r w:rsidR="00432B1E">
        <w:t xml:space="preserve"> </w:t>
      </w:r>
      <w:r w:rsidR="00350FA4">
        <w:t xml:space="preserve">the pros </w:t>
      </w:r>
      <w:r w:rsidR="00432B1E">
        <w:t>and</w:t>
      </w:r>
      <w:r w:rsidR="00350FA4">
        <w:t xml:space="preserve"> cons of a SIB or </w:t>
      </w:r>
      <w:r w:rsidR="00432B1E">
        <w:t>outcomes</w:t>
      </w:r>
      <w:r w:rsidR="00350FA4">
        <w:t xml:space="preserve"> contract vs an alliance </w:t>
      </w:r>
      <w:r w:rsidR="00432B1E">
        <w:t>contract</w:t>
      </w:r>
      <w:r w:rsidR="00350FA4">
        <w:t xml:space="preserve"> </w:t>
      </w:r>
      <w:r w:rsidR="00432B1E">
        <w:t>could</w:t>
      </w:r>
      <w:r w:rsidR="00350FA4">
        <w:t xml:space="preserve"> become finely balanced, and </w:t>
      </w:r>
      <w:r w:rsidR="00432B1E">
        <w:t>dependent</w:t>
      </w:r>
      <w:r w:rsidR="00350FA4">
        <w:t xml:space="preserve"> on other factors such as the strength of the local </w:t>
      </w:r>
      <w:r w:rsidR="00432B1E">
        <w:t>provider</w:t>
      </w:r>
      <w:r w:rsidR="00350FA4">
        <w:t xml:space="preserve"> market and their appetite for </w:t>
      </w:r>
      <w:r w:rsidR="00432B1E">
        <w:t>either</w:t>
      </w:r>
      <w:r w:rsidR="00350FA4">
        <w:t xml:space="preserve"> an </w:t>
      </w:r>
      <w:r w:rsidR="0046397F">
        <w:t>a</w:t>
      </w:r>
      <w:r w:rsidR="00350FA4">
        <w:t>lliance contract (which require</w:t>
      </w:r>
      <w:r w:rsidR="00432B1E">
        <w:t>s</w:t>
      </w:r>
      <w:r w:rsidR="00350FA4">
        <w:t xml:space="preserve"> </w:t>
      </w:r>
      <w:r w:rsidR="00432B1E">
        <w:t>close</w:t>
      </w:r>
      <w:r w:rsidR="00350FA4">
        <w:t xml:space="preserve"> cooperation between </w:t>
      </w:r>
      <w:r w:rsidR="00432B1E">
        <w:t>providers</w:t>
      </w:r>
      <w:r w:rsidR="00350FA4">
        <w:t xml:space="preserve">) or a SIB (which requires </w:t>
      </w:r>
      <w:r w:rsidR="00432B1E">
        <w:t>providers</w:t>
      </w:r>
      <w:r w:rsidR="00350FA4">
        <w:t xml:space="preserve"> </w:t>
      </w:r>
      <w:r w:rsidR="00432B1E">
        <w:t xml:space="preserve">either </w:t>
      </w:r>
      <w:r w:rsidR="00350FA4">
        <w:t xml:space="preserve">to bear </w:t>
      </w:r>
      <w:r w:rsidR="00432B1E">
        <w:t>outcomes risk or to work with and through an investment fund manager managing investors),</w:t>
      </w:r>
    </w:p>
    <w:p w14:paraId="351434DE" w14:textId="77777777" w:rsidR="006E6856" w:rsidRDefault="006E6856" w:rsidP="006E6856">
      <w:pPr>
        <w:pStyle w:val="EcorysSectionLevel02"/>
        <w:numPr>
          <w:ilvl w:val="1"/>
          <w:numId w:val="33"/>
        </w:numPr>
      </w:pPr>
      <w:bookmarkStart w:id="87" w:name="_Toc167437683"/>
      <w:r>
        <w:lastRenderedPageBreak/>
        <w:t>Full appraisal of all options</w:t>
      </w:r>
      <w:bookmarkEnd w:id="87"/>
      <w:r>
        <w:t xml:space="preserve"> </w:t>
      </w:r>
    </w:p>
    <w:p w14:paraId="633CEE2E" w14:textId="1C536CA4" w:rsidR="006E6856" w:rsidRDefault="006E6856" w:rsidP="006E6856">
      <w:pPr>
        <w:pStyle w:val="EcorysBody"/>
      </w:pPr>
      <w:r>
        <w:t>Thirdly and arguably most importantly, commissioners need to undertake a full appraisal of all options</w:t>
      </w:r>
      <w:r w:rsidR="00A71FFB">
        <w:t xml:space="preserve">, </w:t>
      </w:r>
      <w:r>
        <w:t xml:space="preserve">which takes account of the local context. There is some evidence from the </w:t>
      </w:r>
      <w:r w:rsidR="0046397F">
        <w:t>primary research</w:t>
      </w:r>
      <w:r>
        <w:t xml:space="preserve"> of this, but also of the commissioners defaulting quite quickly either to contracting options that they have used before (notably </w:t>
      </w:r>
      <w:r w:rsidR="0047072F">
        <w:t>FFS</w:t>
      </w:r>
      <w:r>
        <w:t>) or to more innovative approaches (either SIB or Alliance contract) without full assessment of relative cost and benefits</w:t>
      </w:r>
      <w:r w:rsidR="63C6AD7F">
        <w:t xml:space="preserve">. </w:t>
      </w:r>
      <w:r>
        <w:t xml:space="preserve">It is arguable, for example, that commissioning a complex, strengths-based intervention for people at risk of homelessness (as in one </w:t>
      </w:r>
      <w:r w:rsidR="004F24F7">
        <w:t>LA involved in our research</w:t>
      </w:r>
      <w:r>
        <w:t xml:space="preserve">) would have been equally suited to a SIB approach as to an </w:t>
      </w:r>
      <w:r w:rsidR="004F24F7">
        <w:t>a</w:t>
      </w:r>
      <w:r>
        <w:t>lliance contract, based on available research (though this is not to say that they made an incorrect decision, only that all options may not have been fully considered</w:t>
      </w:r>
      <w:r w:rsidR="004F24F7">
        <w:t>)</w:t>
      </w:r>
      <w:r>
        <w:t xml:space="preserve">, </w:t>
      </w:r>
    </w:p>
    <w:p w14:paraId="1A107D93" w14:textId="0ED63231" w:rsidR="00C039C6" w:rsidRDefault="006E6856" w:rsidP="00B135C5">
      <w:pPr>
        <w:pStyle w:val="EcorysBody"/>
      </w:pPr>
      <w:r>
        <w:t xml:space="preserve">We acknowledge that it is not easy for commissioners to undertake such appraisal given current resource constraints but there are </w:t>
      </w:r>
      <w:bookmarkStart w:id="88" w:name="_Int_ZSVN6wAE"/>
      <w:r>
        <w:t>arguably greater</w:t>
      </w:r>
      <w:bookmarkEnd w:id="88"/>
      <w:r>
        <w:t xml:space="preserve"> risks in taking commissioning decisions without such appraisal. In </w:t>
      </w:r>
      <w:r w:rsidR="009E0029">
        <w:t>addition,</w:t>
      </w:r>
      <w:r>
        <w:t xml:space="preserve"> this is the only way fully to consider options that offer costs and benefits that are </w:t>
      </w:r>
      <w:bookmarkStart w:id="89" w:name="_Int_shkM0o6s"/>
      <w:r>
        <w:t>finely balanced</w:t>
      </w:r>
      <w:bookmarkEnd w:id="89"/>
      <w:r>
        <w:t xml:space="preserve"> – notably whether to choose a SIB or an </w:t>
      </w:r>
      <w:r w:rsidR="00C03311">
        <w:t>a</w:t>
      </w:r>
      <w:r>
        <w:t xml:space="preserve">lliance approach to a collaborative contract, or a SIB rather than PbR for a contract where transfer of outcomes risk is a key requirement. In both cases the decision may come down to local factors – such as provider market capacity – which can only be </w:t>
      </w:r>
      <w:bookmarkStart w:id="90" w:name="_Int_PzqPJfY5"/>
      <w:r>
        <w:t>properly consider</w:t>
      </w:r>
      <w:bookmarkEnd w:id="90"/>
      <w:r>
        <w:t xml:space="preserve"> through full appraisal.</w:t>
      </w:r>
    </w:p>
    <w:p w14:paraId="13E762CF" w14:textId="2D45741E" w:rsidR="00430DEB" w:rsidRPr="00B135C5" w:rsidRDefault="00C039C6" w:rsidP="00B135C5">
      <w:pPr>
        <w:pStyle w:val="EcorysBody"/>
      </w:pPr>
      <w:r>
        <w:t>It is arguable that some of</w:t>
      </w:r>
      <w:r w:rsidR="00270355">
        <w:t xml:space="preserve"> these decisions could be left open during procurement</w:t>
      </w:r>
      <w:r w:rsidR="00EE3714">
        <w:t xml:space="preserve">, </w:t>
      </w:r>
      <w:r w:rsidR="00270355">
        <w:t>and cost-effectiveness judged comparatively during tender evaluation – especially</w:t>
      </w:r>
      <w:r w:rsidR="00EE3714">
        <w:t xml:space="preserve"> if there is </w:t>
      </w:r>
      <w:r w:rsidR="00270355">
        <w:t>interest</w:t>
      </w:r>
      <w:r w:rsidR="00EE3714">
        <w:t xml:space="preserve"> in hybrid </w:t>
      </w:r>
      <w:r w:rsidR="00270355">
        <w:t>contracting</w:t>
      </w:r>
      <w:r w:rsidR="00EE3714">
        <w:t xml:space="preserve"> and payment </w:t>
      </w:r>
      <w:r w:rsidR="00270355">
        <w:t>models</w:t>
      </w:r>
      <w:r w:rsidR="00EE3714">
        <w:t>. F</w:t>
      </w:r>
      <w:r>
        <w:t>or example</w:t>
      </w:r>
      <w:r w:rsidR="006F2F1C">
        <w:t>,</w:t>
      </w:r>
      <w:r>
        <w:t xml:space="preserve"> </w:t>
      </w:r>
      <w:r w:rsidR="00EE3714">
        <w:t>a</w:t>
      </w:r>
      <w:r w:rsidR="006F2F1C">
        <w:t xml:space="preserve">n outcomes-based </w:t>
      </w:r>
      <w:r w:rsidR="00270355">
        <w:t>contract</w:t>
      </w:r>
      <w:r w:rsidR="00EE3714">
        <w:t xml:space="preserve"> </w:t>
      </w:r>
      <w:r w:rsidR="00270355">
        <w:t>could</w:t>
      </w:r>
      <w:r w:rsidR="00EE3714">
        <w:t xml:space="preserve"> </w:t>
      </w:r>
      <w:r w:rsidR="00270355">
        <w:t>leave</w:t>
      </w:r>
      <w:r w:rsidR="00EE3714">
        <w:t xml:space="preserve"> it to </w:t>
      </w:r>
      <w:r w:rsidR="00270355">
        <w:t>bidders</w:t>
      </w:r>
      <w:r w:rsidR="00EE3714">
        <w:t xml:space="preserve"> decide whether to bid with their own funding or </w:t>
      </w:r>
      <w:r w:rsidR="00270355">
        <w:t>with</w:t>
      </w:r>
      <w:r w:rsidR="00EE3714">
        <w:t xml:space="preserve"> social </w:t>
      </w:r>
      <w:r w:rsidR="00270355">
        <w:t>investment</w:t>
      </w:r>
      <w:r w:rsidR="00EE3714">
        <w:t xml:space="preserve"> support – </w:t>
      </w:r>
      <w:r w:rsidR="00270355">
        <w:t>effectively</w:t>
      </w:r>
      <w:r w:rsidR="00EE3714">
        <w:t xml:space="preserve"> choosing </w:t>
      </w:r>
      <w:r w:rsidR="00270355">
        <w:t>between</w:t>
      </w:r>
      <w:r w:rsidR="00EE3714">
        <w:t xml:space="preserve"> PbR and a SIB. Bidders might also be invited to bid with payment linked 100% to </w:t>
      </w:r>
      <w:r w:rsidR="00270355">
        <w:t>outcomes</w:t>
      </w:r>
      <w:r w:rsidR="00EE3714">
        <w:t xml:space="preserve"> or only partly, with a fixed upfront payment that </w:t>
      </w:r>
      <w:r w:rsidR="00270355">
        <w:t>effectively</w:t>
      </w:r>
      <w:r w:rsidR="00EE3714">
        <w:t xml:space="preserve"> </w:t>
      </w:r>
      <w:r w:rsidR="00270355">
        <w:t>creates</w:t>
      </w:r>
      <w:r w:rsidR="00EE3714">
        <w:t xml:space="preserve"> a hybrid FFS/</w:t>
      </w:r>
      <w:r w:rsidR="00270355">
        <w:t>P</w:t>
      </w:r>
      <w:r w:rsidR="00EE3714">
        <w:t xml:space="preserve">bR </w:t>
      </w:r>
      <w:r w:rsidR="00270355">
        <w:t>contract</w:t>
      </w:r>
      <w:r w:rsidR="00EE3714">
        <w:t>.  However</w:t>
      </w:r>
      <w:r w:rsidR="009C5B3F">
        <w:t>,</w:t>
      </w:r>
      <w:r w:rsidR="00EE3714">
        <w:t xml:space="preserve"> </w:t>
      </w:r>
      <w:bookmarkStart w:id="91" w:name="_Int_opbYKEs7"/>
      <w:r w:rsidR="00270355">
        <w:t>nearly</w:t>
      </w:r>
      <w:r w:rsidR="00EE3714">
        <w:t xml:space="preserve"> all</w:t>
      </w:r>
      <w:bookmarkEnd w:id="91"/>
      <w:r w:rsidR="00EE3714">
        <w:t xml:space="preserve"> </w:t>
      </w:r>
      <w:r w:rsidR="00270355">
        <w:t>commissioners</w:t>
      </w:r>
      <w:r w:rsidR="00EE3714">
        <w:t xml:space="preserve"> </w:t>
      </w:r>
      <w:r w:rsidR="00270355">
        <w:t>will</w:t>
      </w:r>
      <w:r w:rsidR="00EE3714">
        <w:t xml:space="preserve"> want to set boundaries to the type of </w:t>
      </w:r>
      <w:r w:rsidR="00270355">
        <w:t>contract</w:t>
      </w:r>
      <w:r w:rsidR="00EE3714">
        <w:t xml:space="preserve"> they want – in part </w:t>
      </w:r>
      <w:r w:rsidR="00270355">
        <w:t>because</w:t>
      </w:r>
      <w:r w:rsidR="00EE3714">
        <w:t xml:space="preserve"> this will have an impact on who is </w:t>
      </w:r>
      <w:r w:rsidR="00270355">
        <w:t>mo</w:t>
      </w:r>
      <w:r w:rsidR="00EE3714">
        <w:t xml:space="preserve">st </w:t>
      </w:r>
      <w:r w:rsidR="00270355">
        <w:t>likely</w:t>
      </w:r>
      <w:r w:rsidR="00EE3714">
        <w:t xml:space="preserve"> </w:t>
      </w:r>
      <w:r w:rsidR="00270355">
        <w:t>to</w:t>
      </w:r>
      <w:r w:rsidR="00EE3714">
        <w:t xml:space="preserve"> bid for the contract. If so</w:t>
      </w:r>
      <w:r w:rsidR="009C5B3F">
        <w:t>,</w:t>
      </w:r>
      <w:r w:rsidR="00EE3714">
        <w:t xml:space="preserve"> they </w:t>
      </w:r>
      <w:r w:rsidR="00270355">
        <w:t>will</w:t>
      </w:r>
      <w:r w:rsidR="00EE3714">
        <w:t xml:space="preserve"> need to have some reassurance that the option(s) they are choosing are the most cost-</w:t>
      </w:r>
      <w:r w:rsidR="00270355">
        <w:t xml:space="preserve">effective, </w:t>
      </w:r>
      <w:r w:rsidR="007339C8">
        <w:t>underlining the need to carry out an options</w:t>
      </w:r>
      <w:r w:rsidR="00270355">
        <w:t xml:space="preserve"> appraisal prior to tendering.</w:t>
      </w:r>
      <w:r>
        <w:br w:type="page"/>
      </w:r>
    </w:p>
    <w:p w14:paraId="2D683C89" w14:textId="04D779F6" w:rsidR="00AB7B2A" w:rsidRDefault="287FEF02" w:rsidP="47B0E3EC">
      <w:pPr>
        <w:pStyle w:val="EcorysSectionLevel01"/>
        <w:numPr>
          <w:ilvl w:val="0"/>
          <w:numId w:val="0"/>
        </w:numPr>
      </w:pPr>
      <w:r>
        <w:lastRenderedPageBreak/>
        <w:t>Conclusion</w:t>
      </w:r>
    </w:p>
    <w:p w14:paraId="70F666AC" w14:textId="663013E9" w:rsidR="00430DEB" w:rsidRDefault="00990B72" w:rsidP="00430DEB">
      <w:pPr>
        <w:pStyle w:val="EcorysBody"/>
      </w:pPr>
      <w:r>
        <w:t>Th</w:t>
      </w:r>
      <w:r w:rsidR="4976A84C">
        <w:t>e REA</w:t>
      </w:r>
      <w:r w:rsidR="10C0DF28">
        <w:t>s</w:t>
      </w:r>
      <w:r w:rsidR="4976A84C">
        <w:t xml:space="preserve"> and </w:t>
      </w:r>
      <w:r w:rsidR="007339C8">
        <w:t>primary research</w:t>
      </w:r>
      <w:r w:rsidR="4976A84C">
        <w:t xml:space="preserve"> provided several insights into </w:t>
      </w:r>
      <w:r w:rsidR="37E4276D">
        <w:t xml:space="preserve">local authority </w:t>
      </w:r>
      <w:r w:rsidR="4976A84C">
        <w:t xml:space="preserve">commissioners’ decision-making when commissioning a </w:t>
      </w:r>
      <w:r w:rsidR="37E4276D">
        <w:t xml:space="preserve">social or health </w:t>
      </w:r>
      <w:r w:rsidR="4976A84C">
        <w:t xml:space="preserve">service. </w:t>
      </w:r>
      <w:r w:rsidR="004A1EC6">
        <w:t>The</w:t>
      </w:r>
      <w:r w:rsidR="287FEF02">
        <w:t xml:space="preserve"> evidence </w:t>
      </w:r>
      <w:r w:rsidR="004A1EC6">
        <w:t xml:space="preserve">generated through this study indicates </w:t>
      </w:r>
      <w:r w:rsidR="287FEF02">
        <w:t xml:space="preserve">that political, </w:t>
      </w:r>
      <w:r w:rsidR="4976A84C">
        <w:t>economic,</w:t>
      </w:r>
      <w:r w:rsidR="287FEF02">
        <w:t xml:space="preserve"> and sociological factors shape </w:t>
      </w:r>
      <w:r w:rsidR="5FBC4F7A">
        <w:t xml:space="preserve">commissioners’ </w:t>
      </w:r>
      <w:r w:rsidR="287FEF02">
        <w:t xml:space="preserve">decision-making on which contracting approach </w:t>
      </w:r>
      <w:r w:rsidR="5FBC4F7A">
        <w:t xml:space="preserve">they </w:t>
      </w:r>
      <w:r w:rsidR="287FEF02">
        <w:t>opt for</w:t>
      </w:r>
      <w:r w:rsidR="10C0DF28">
        <w:t xml:space="preserve"> more than other factors (e.g. technological, environmental)</w:t>
      </w:r>
      <w:r w:rsidR="287FEF02">
        <w:t>, particularly in choosing outcomes-based contracting.</w:t>
      </w:r>
      <w:r w:rsidR="4976A84C">
        <w:t xml:space="preserve"> </w:t>
      </w:r>
      <w:r w:rsidR="045A3BC0">
        <w:t>Below is a summary of our key findings</w:t>
      </w:r>
      <w:r w:rsidR="44D23408">
        <w:t xml:space="preserve"> and reflections</w:t>
      </w:r>
      <w:r w:rsidR="10C0DF28">
        <w:t xml:space="preserve"> on what helps and hinders commissioners in exploring how different contracting approaches could help them meet their aims</w:t>
      </w:r>
      <w:r w:rsidR="00201770">
        <w:t>; building on common themes drawn from the interviews</w:t>
      </w:r>
      <w:r w:rsidR="007466F8">
        <w:t>, the REAs, and through discussion of the findings with our expert research advisory group</w:t>
      </w:r>
      <w:r w:rsidR="045A3BC0">
        <w:t>:</w:t>
      </w:r>
    </w:p>
    <w:p w14:paraId="1C1B3136" w14:textId="7B7FAC95" w:rsidR="00CB397B" w:rsidRDefault="00430DEB" w:rsidP="00CB397B">
      <w:pPr>
        <w:pStyle w:val="EcorysBullet01"/>
      </w:pPr>
      <w:r>
        <w:t xml:space="preserve">Limited </w:t>
      </w:r>
      <w:r w:rsidRPr="003A08FF">
        <w:rPr>
          <w:b/>
          <w:bCs/>
        </w:rPr>
        <w:t>capacity within LA teams is a</w:t>
      </w:r>
      <w:r w:rsidR="00E20FC9">
        <w:rPr>
          <w:b/>
          <w:bCs/>
        </w:rPr>
        <w:t>n</w:t>
      </w:r>
      <w:r w:rsidR="002B7CFC">
        <w:rPr>
          <w:b/>
          <w:bCs/>
        </w:rPr>
        <w:t xml:space="preserve"> </w:t>
      </w:r>
      <w:r w:rsidRPr="003A08FF">
        <w:rPr>
          <w:b/>
          <w:bCs/>
        </w:rPr>
        <w:t>inhibiting factor</w:t>
      </w:r>
      <w:r>
        <w:t xml:space="preserve"> for considering different forms of contracting approach beyond fee-for-service. </w:t>
      </w:r>
    </w:p>
    <w:p w14:paraId="37CDD596" w14:textId="230EEA66" w:rsidR="00430DEB" w:rsidRDefault="00CB397B" w:rsidP="003A08FF">
      <w:pPr>
        <w:pStyle w:val="EcorysBullet01"/>
      </w:pPr>
      <w:r>
        <w:t>I</w:t>
      </w:r>
      <w:r w:rsidR="00430DEB">
        <w:t>ndividua</w:t>
      </w:r>
      <w:r>
        <w:t>l</w:t>
      </w:r>
      <w:r w:rsidR="00430DEB">
        <w:t xml:space="preserve"> </w:t>
      </w:r>
      <w:r w:rsidR="00430DEB" w:rsidRPr="003A08FF">
        <w:rPr>
          <w:b/>
          <w:bCs/>
        </w:rPr>
        <w:t>commissioners</w:t>
      </w:r>
      <w:r w:rsidRPr="003A08FF">
        <w:rPr>
          <w:b/>
          <w:bCs/>
        </w:rPr>
        <w:t xml:space="preserve"> play a key role in</w:t>
      </w:r>
      <w:r w:rsidR="00430DEB" w:rsidRPr="003A08FF">
        <w:rPr>
          <w:b/>
          <w:bCs/>
        </w:rPr>
        <w:t xml:space="preserve"> championing more innovative approaches</w:t>
      </w:r>
      <w:r w:rsidR="00430DEB">
        <w:t xml:space="preserve"> within their organisation.</w:t>
      </w:r>
    </w:p>
    <w:p w14:paraId="6E87B421" w14:textId="40F4556C" w:rsidR="00430DEB" w:rsidRDefault="00FB2A34" w:rsidP="003A08FF">
      <w:pPr>
        <w:pStyle w:val="EcorysBullet01"/>
      </w:pPr>
      <w:r>
        <w:t xml:space="preserve">Commissioners we spoke to </w:t>
      </w:r>
      <w:bookmarkStart w:id="92" w:name="_Int_TGfDduc3"/>
      <w:r>
        <w:t>highlighted</w:t>
      </w:r>
      <w:bookmarkEnd w:id="92"/>
      <w:r>
        <w:t xml:space="preserve"> the key influencing role of hearing from other LAs</w:t>
      </w:r>
      <w:r w:rsidR="001C7C83">
        <w:t>'</w:t>
      </w:r>
      <w:r>
        <w:t xml:space="preserve"> experiences</w:t>
      </w:r>
      <w:r w:rsidR="00A56EED">
        <w:t xml:space="preserve"> to</w:t>
      </w:r>
      <w:r>
        <w:t xml:space="preserve"> increase </w:t>
      </w:r>
      <w:r w:rsidR="00430DEB">
        <w:t>awareness of other potential contracting approaches and how they might be used to address increasingly complex social issues</w:t>
      </w:r>
      <w:r w:rsidR="00984E88">
        <w:t xml:space="preserve">. This </w:t>
      </w:r>
      <w:r>
        <w:t>demonstrat</w:t>
      </w:r>
      <w:r w:rsidR="00984E88">
        <w:t>es</w:t>
      </w:r>
      <w:r>
        <w:t xml:space="preserve"> the</w:t>
      </w:r>
      <w:r w:rsidR="00A56EED">
        <w:t xml:space="preserve"> ongoing</w:t>
      </w:r>
      <w:r>
        <w:t xml:space="preserve"> </w:t>
      </w:r>
      <w:r w:rsidRPr="6002C6A8">
        <w:rPr>
          <w:b/>
          <w:bCs/>
        </w:rPr>
        <w:t>need for LAs</w:t>
      </w:r>
      <w:r>
        <w:t xml:space="preserve"> </w:t>
      </w:r>
      <w:r w:rsidRPr="6002C6A8">
        <w:rPr>
          <w:b/>
          <w:bCs/>
        </w:rPr>
        <w:t>sharing learning.</w:t>
      </w:r>
    </w:p>
    <w:p w14:paraId="6716519E" w14:textId="3863BC47" w:rsidR="00430DEB" w:rsidRDefault="5278A33A" w:rsidP="47B0E3EC">
      <w:pPr>
        <w:pStyle w:val="EcorysBullet01"/>
        <w:numPr>
          <w:ilvl w:val="0"/>
          <w:numId w:val="0"/>
        </w:numPr>
      </w:pPr>
      <w:r>
        <w:t>There</w:t>
      </w:r>
      <w:r w:rsidR="287FEF02">
        <w:t xml:space="preserve"> </w:t>
      </w:r>
      <w:r w:rsidR="006D3B54">
        <w:t>wa</w:t>
      </w:r>
      <w:r w:rsidR="287FEF02">
        <w:t xml:space="preserve">s a </w:t>
      </w:r>
      <w:r w:rsidR="287FEF02" w:rsidRPr="6002C6A8">
        <w:rPr>
          <w:b/>
          <w:bCs/>
        </w:rPr>
        <w:t>perception</w:t>
      </w:r>
      <w:r w:rsidR="00201770" w:rsidRPr="6002C6A8">
        <w:rPr>
          <w:b/>
          <w:bCs/>
        </w:rPr>
        <w:t xml:space="preserve"> from the commissioner</w:t>
      </w:r>
      <w:r w:rsidR="003C0A02" w:rsidRPr="6002C6A8">
        <w:rPr>
          <w:b/>
          <w:bCs/>
        </w:rPr>
        <w:t>s interviewed</w:t>
      </w:r>
      <w:r w:rsidR="006D3B54" w:rsidRPr="6002C6A8">
        <w:rPr>
          <w:b/>
          <w:bCs/>
        </w:rPr>
        <w:t xml:space="preserve"> </w:t>
      </w:r>
      <w:r w:rsidR="287FEF02" w:rsidRPr="6002C6A8">
        <w:rPr>
          <w:b/>
          <w:bCs/>
        </w:rPr>
        <w:t>that FFS</w:t>
      </w:r>
      <w:r w:rsidR="006D3B54" w:rsidRPr="6002C6A8">
        <w:rPr>
          <w:b/>
          <w:bCs/>
        </w:rPr>
        <w:t>,</w:t>
      </w:r>
      <w:r w:rsidR="287FEF02" w:rsidRPr="6002C6A8">
        <w:rPr>
          <w:b/>
          <w:bCs/>
        </w:rPr>
        <w:t xml:space="preserve"> as a ‘standard approach</w:t>
      </w:r>
      <w:r w:rsidR="472B2247">
        <w:t>,’</w:t>
      </w:r>
      <w:r>
        <w:t xml:space="preserve"> </w:t>
      </w:r>
      <w:r w:rsidR="287FEF02">
        <w:t xml:space="preserve">is more efficient, as there are fewer associated set-up costs. </w:t>
      </w:r>
      <w:r>
        <w:t>However,</w:t>
      </w:r>
      <w:r w:rsidR="287FEF02">
        <w:t xml:space="preserve"> </w:t>
      </w:r>
      <w:r w:rsidR="00443098">
        <w:t xml:space="preserve">based on the findings from our research, </w:t>
      </w:r>
      <w:r>
        <w:t>alternative contracting approaches</w:t>
      </w:r>
      <w:r w:rsidR="287FEF02">
        <w:t xml:space="preserve"> could be more cost-efficient (in terms of cost per outcome) because commissioners only pay when an outcome is achieved (rather than paying for a whole service regardless of its outcomes as in FFS).</w:t>
      </w:r>
      <w:r w:rsidR="00830975">
        <w:t xml:space="preserve"> This also </w:t>
      </w:r>
      <w:r w:rsidR="00526F35">
        <w:t>highlights</w:t>
      </w:r>
      <w:r w:rsidR="00830975">
        <w:t xml:space="preserve"> a key point around awareness of alternative contracting approaches. </w:t>
      </w:r>
      <w:r w:rsidR="0029274B">
        <w:t>As t</w:t>
      </w:r>
      <w:r w:rsidR="00830975">
        <w:t>here can be a lack of awareness of</w:t>
      </w:r>
      <w:r w:rsidR="00DD6445">
        <w:t xml:space="preserve"> – and mis</w:t>
      </w:r>
      <w:r w:rsidR="00806297">
        <w:t>understanding</w:t>
      </w:r>
      <w:r w:rsidR="00DD6445">
        <w:t xml:space="preserve"> about -</w:t>
      </w:r>
      <w:r w:rsidR="0029274B">
        <w:t xml:space="preserve"> </w:t>
      </w:r>
      <w:r w:rsidR="0CBCDC23">
        <w:t>different contracting</w:t>
      </w:r>
      <w:r w:rsidR="00830975">
        <w:t xml:space="preserve"> types</w:t>
      </w:r>
      <w:r w:rsidR="00DD6445">
        <w:t xml:space="preserve"> among commissioners,</w:t>
      </w:r>
      <w:r w:rsidR="00830975">
        <w:t xml:space="preserve"> it is important to correct these misconceptions </w:t>
      </w:r>
      <w:r w:rsidR="00094783">
        <w:t>to help ensure that the most appropriate contracting type is chosen for social and health interventions.</w:t>
      </w:r>
    </w:p>
    <w:p w14:paraId="5E460F83" w14:textId="50A30C6F" w:rsidR="00430DEB" w:rsidRDefault="481AAFB0" w:rsidP="47B0E3EC">
      <w:pPr>
        <w:pStyle w:val="EcorysBullet01"/>
        <w:numPr>
          <w:ilvl w:val="0"/>
          <w:numId w:val="0"/>
        </w:numPr>
      </w:pPr>
      <w:r>
        <w:t>However, a</w:t>
      </w:r>
      <w:r w:rsidR="287FEF02">
        <w:t xml:space="preserve">t the time of reporting, </w:t>
      </w:r>
      <w:r w:rsidR="00C00895">
        <w:t xml:space="preserve">there </w:t>
      </w:r>
      <w:r w:rsidR="00384229">
        <w:t>was</w:t>
      </w:r>
      <w:r w:rsidR="00C00895">
        <w:t xml:space="preserve"> broad consensus </w:t>
      </w:r>
      <w:r w:rsidR="00384229">
        <w:t xml:space="preserve">from commissioners interviewed </w:t>
      </w:r>
      <w:r w:rsidR="00C00895">
        <w:t xml:space="preserve">that </w:t>
      </w:r>
      <w:r w:rsidR="287FEF02" w:rsidRPr="6002C6A8">
        <w:rPr>
          <w:b/>
          <w:bCs/>
        </w:rPr>
        <w:t>economic and organisational capacity factors</w:t>
      </w:r>
      <w:r w:rsidR="1049A629">
        <w:t xml:space="preserve"> constitute a</w:t>
      </w:r>
      <w:r w:rsidR="287FEF02">
        <w:t xml:space="preserve"> significant challenge for commissioners </w:t>
      </w:r>
      <w:r w:rsidR="1049A629">
        <w:t>when</w:t>
      </w:r>
      <w:r w:rsidR="287FEF02">
        <w:t xml:space="preserve"> considering outcomes-based models. </w:t>
      </w:r>
      <w:r w:rsidR="009D3560">
        <w:t>C</w:t>
      </w:r>
      <w:r w:rsidR="00993E78">
        <w:t>ommissioners</w:t>
      </w:r>
      <w:r w:rsidR="009D3560">
        <w:t xml:space="preserve"> told us they</w:t>
      </w:r>
      <w:r w:rsidR="00993E78">
        <w:t xml:space="preserve"> often </w:t>
      </w:r>
      <w:r w:rsidR="00993E78" w:rsidRPr="6002C6A8">
        <w:rPr>
          <w:b/>
          <w:bCs/>
        </w:rPr>
        <w:t>do</w:t>
      </w:r>
      <w:r w:rsidR="009D3560" w:rsidRPr="6002C6A8">
        <w:rPr>
          <w:b/>
          <w:bCs/>
        </w:rPr>
        <w:t xml:space="preserve"> not </w:t>
      </w:r>
      <w:r w:rsidR="00993E78" w:rsidRPr="6002C6A8">
        <w:rPr>
          <w:b/>
          <w:bCs/>
        </w:rPr>
        <w:t>have the time</w:t>
      </w:r>
      <w:r w:rsidR="0008353F" w:rsidRPr="6002C6A8">
        <w:rPr>
          <w:b/>
          <w:bCs/>
        </w:rPr>
        <w:t xml:space="preserve"> and</w:t>
      </w:r>
      <w:r w:rsidR="009D3560" w:rsidRPr="6002C6A8">
        <w:rPr>
          <w:b/>
          <w:bCs/>
        </w:rPr>
        <w:t xml:space="preserve"> capacity</w:t>
      </w:r>
      <w:r w:rsidR="0008353F" w:rsidRPr="6002C6A8">
        <w:rPr>
          <w:b/>
          <w:bCs/>
        </w:rPr>
        <w:t xml:space="preserve"> needed</w:t>
      </w:r>
      <w:r w:rsidR="00993E78" w:rsidRPr="6002C6A8">
        <w:rPr>
          <w:b/>
          <w:bCs/>
        </w:rPr>
        <w:t xml:space="preserve"> to use specific tools</w:t>
      </w:r>
      <w:r w:rsidR="00993E78">
        <w:t xml:space="preserve"> like an </w:t>
      </w:r>
      <w:r w:rsidR="00C704E2">
        <w:t xml:space="preserve">options appraisal to assess all the possible contracting approaches and the </w:t>
      </w:r>
      <w:bookmarkStart w:id="93" w:name="_Int_AWMhev6V"/>
      <w:r w:rsidR="00C704E2">
        <w:t>various factors</w:t>
      </w:r>
      <w:bookmarkEnd w:id="93"/>
      <w:r w:rsidR="00C704E2">
        <w:t xml:space="preserve"> which may influence the</w:t>
      </w:r>
      <w:r w:rsidR="0008353F">
        <w:t>ir</w:t>
      </w:r>
      <w:r w:rsidR="00C704E2">
        <w:t xml:space="preserve"> decision</w:t>
      </w:r>
      <w:r w:rsidR="0008353F">
        <w:t xml:space="preserve"> to use these</w:t>
      </w:r>
      <w:r w:rsidR="00C704E2">
        <w:t>.</w:t>
      </w:r>
    </w:p>
    <w:p w14:paraId="1EE99207" w14:textId="658C8F4D" w:rsidR="00430DEB" w:rsidRPr="00430DEB" w:rsidRDefault="00C00895" w:rsidP="00430DEB">
      <w:pPr>
        <w:pStyle w:val="EcorysBody"/>
      </w:pPr>
      <w:r>
        <w:t>Based on findings from our commissioner interviews and on the broader research Ecorys and ATQ have undertaken for the CBO evaluation t</w:t>
      </w:r>
      <w:r w:rsidR="287FEF02">
        <w:t>his means</w:t>
      </w:r>
      <w:r w:rsidR="1049A629">
        <w:t xml:space="preserve"> that when commissioners assess whether to pursue a </w:t>
      </w:r>
      <w:r w:rsidR="287FEF02">
        <w:t>SIB</w:t>
      </w:r>
      <w:r w:rsidR="1049A629">
        <w:t>,</w:t>
      </w:r>
      <w:r w:rsidR="287FEF02">
        <w:t xml:space="preserve"> economic benefits need to be assessed carefully</w:t>
      </w:r>
      <w:r w:rsidR="1049A629">
        <w:t xml:space="preserve">. </w:t>
      </w:r>
      <w:r w:rsidR="10C0DF28">
        <w:t>P</w:t>
      </w:r>
      <w:r w:rsidR="287FEF02">
        <w:t>olitical and sociological factors need to be given strong consideration alongside economic factors when opting for a SIB</w:t>
      </w:r>
      <w:r w:rsidR="00F268E9">
        <w:t xml:space="preserve"> as an understanding of wider local needs and the needs of the target group is crucial for outcome-focused commissioning</w:t>
      </w:r>
      <w:r w:rsidR="1049A629">
        <w:t>.</w:t>
      </w:r>
      <w:r w:rsidR="287FEF02">
        <w:t xml:space="preserve"> </w:t>
      </w:r>
      <w:r w:rsidR="1049A629">
        <w:t>Moreover,</w:t>
      </w:r>
      <w:r w:rsidR="287FEF02">
        <w:t xml:space="preserve"> commissioners should be supported with resource </w:t>
      </w:r>
      <w:r w:rsidR="1BFA3282">
        <w:t>and</w:t>
      </w:r>
      <w:r w:rsidR="287FEF02">
        <w:t xml:space="preserve"> capacity to appraise all </w:t>
      </w:r>
      <w:bookmarkStart w:id="94" w:name="_Int_gC2MSv2D"/>
      <w:r w:rsidR="287FEF02">
        <w:t>possible options</w:t>
      </w:r>
      <w:bookmarkEnd w:id="94"/>
      <w:r w:rsidR="287FEF02">
        <w:t xml:space="preserve"> of contracting approaches to be sure that a SIB is the best option for the</w:t>
      </w:r>
      <w:r w:rsidR="1BFA3282">
        <w:t>m</w:t>
      </w:r>
      <w:r w:rsidR="287FEF02">
        <w:t xml:space="preserve"> to achieve earlier and better outcomes</w:t>
      </w:r>
      <w:r w:rsidR="1049A629">
        <w:t>.</w:t>
      </w:r>
    </w:p>
    <w:p w14:paraId="58B609BE" w14:textId="77777777" w:rsidR="00DB40E7" w:rsidRDefault="00DB40E7">
      <w:pPr>
        <w:rPr>
          <w:rFonts w:ascii="Montserrat" w:hAnsi="Montserrat" w:cs="Open Sans Light"/>
          <w:b/>
          <w:color w:val="006EB8"/>
          <w:sz w:val="32"/>
          <w:szCs w:val="48"/>
        </w:rPr>
      </w:pPr>
      <w:r>
        <w:br w:type="page"/>
      </w:r>
    </w:p>
    <w:p w14:paraId="2D9E5CA0" w14:textId="46CD9ABC" w:rsidR="00AB7B2A" w:rsidRDefault="00DB40E7" w:rsidP="00DB40E7">
      <w:pPr>
        <w:pStyle w:val="EcorysH2"/>
      </w:pPr>
      <w:bookmarkStart w:id="95" w:name="_Toc167437684"/>
      <w:r>
        <w:lastRenderedPageBreak/>
        <w:t>Bibliography</w:t>
      </w:r>
      <w:bookmarkEnd w:id="95"/>
    </w:p>
    <w:p w14:paraId="0B6B3048" w14:textId="77777777" w:rsidR="001D07D5" w:rsidRDefault="001D07D5" w:rsidP="001D07D5">
      <w:pPr>
        <w:rPr>
          <w:rFonts w:ascii="Open Sans Light" w:hAnsi="Open Sans Light" w:cs="Open Sans Light"/>
          <w:sz w:val="18"/>
          <w:szCs w:val="18"/>
        </w:rPr>
      </w:pPr>
      <w:r w:rsidRPr="00350BB7">
        <w:rPr>
          <w:rFonts w:ascii="Open Sans Light" w:hAnsi="Open Sans Light" w:cs="Open Sans Light"/>
          <w:sz w:val="18"/>
          <w:szCs w:val="18"/>
        </w:rPr>
        <w:t xml:space="preserve">Albertson, K., Fox, C., O’Leary, C., Painter, G., Bailey, K., </w:t>
      </w:r>
      <w:proofErr w:type="spellStart"/>
      <w:r w:rsidRPr="00350BB7">
        <w:rPr>
          <w:rFonts w:ascii="Open Sans Light" w:hAnsi="Open Sans Light" w:cs="Open Sans Light"/>
          <w:sz w:val="18"/>
          <w:szCs w:val="18"/>
        </w:rPr>
        <w:t>Labarbera</w:t>
      </w:r>
      <w:proofErr w:type="spellEnd"/>
      <w:r w:rsidRPr="00350BB7">
        <w:rPr>
          <w:rFonts w:ascii="Open Sans Light" w:hAnsi="Open Sans Light" w:cs="Open Sans Light"/>
          <w:sz w:val="18"/>
          <w:szCs w:val="18"/>
        </w:rPr>
        <w:t xml:space="preserve">, J. (2018) </w:t>
      </w:r>
      <w:r w:rsidRPr="00350BB7">
        <w:rPr>
          <w:rFonts w:ascii="Open Sans Light" w:hAnsi="Open Sans Light" w:cs="Open Sans Light"/>
          <w:sz w:val="18"/>
          <w:szCs w:val="18"/>
        </w:rPr>
        <w:br/>
      </w:r>
      <w:r w:rsidRPr="00350BB7">
        <w:rPr>
          <w:rFonts w:ascii="Open Sans Light" w:hAnsi="Open Sans Light" w:cs="Open Sans Light"/>
          <w:i/>
          <w:iCs/>
          <w:sz w:val="18"/>
          <w:szCs w:val="18"/>
        </w:rPr>
        <w:t>Payment by Results and Social Impact Bonds: Outcome-Based Systems in the UK and US</w:t>
      </w:r>
      <w:r w:rsidRPr="00350BB7">
        <w:rPr>
          <w:rFonts w:ascii="Open Sans Light" w:hAnsi="Open Sans Light" w:cs="Open Sans Light"/>
          <w:sz w:val="18"/>
          <w:szCs w:val="18"/>
        </w:rPr>
        <w:t xml:space="preserve">. Bristol: Policy Press. </w:t>
      </w:r>
    </w:p>
    <w:p w14:paraId="2A27F4C0" w14:textId="77777777" w:rsidR="001D07D5" w:rsidRDefault="001D07D5" w:rsidP="001D07D5">
      <w:pPr>
        <w:rPr>
          <w:rFonts w:ascii="Open Sans Light" w:hAnsi="Open Sans Light" w:cs="Open Sans Light"/>
          <w:sz w:val="18"/>
          <w:szCs w:val="18"/>
        </w:rPr>
      </w:pPr>
      <w:r w:rsidRPr="6002C6A8">
        <w:rPr>
          <w:rFonts w:ascii="Open Sans Light" w:hAnsi="Open Sans Light" w:cs="Open Sans Light"/>
          <w:sz w:val="18"/>
          <w:szCs w:val="18"/>
        </w:rPr>
        <w:t xml:space="preserve">Bach-Mortensen, A.M., Murray, H., Goodair, B., Carter, E., Briggs, E., and O’Higgins, A. (2022) ‘Are Local Authorities Achieving Effective Market Stewardship </w:t>
      </w:r>
      <w:bookmarkStart w:id="96" w:name="_Int_3ZI94FT8"/>
      <w:r w:rsidRPr="6002C6A8">
        <w:rPr>
          <w:rFonts w:ascii="Open Sans Light" w:hAnsi="Open Sans Light" w:cs="Open Sans Light"/>
          <w:sz w:val="18"/>
          <w:szCs w:val="18"/>
        </w:rPr>
        <w:t>For</w:t>
      </w:r>
      <w:bookmarkEnd w:id="96"/>
      <w:r w:rsidRPr="6002C6A8">
        <w:rPr>
          <w:rFonts w:ascii="Open Sans Light" w:hAnsi="Open Sans Light" w:cs="Open Sans Light"/>
          <w:sz w:val="18"/>
          <w:szCs w:val="18"/>
        </w:rPr>
        <w:t xml:space="preserve"> Children's Social Care Services?’, </w:t>
      </w:r>
      <w:r w:rsidRPr="6002C6A8">
        <w:rPr>
          <w:rFonts w:ascii="Open Sans Light" w:hAnsi="Open Sans Light" w:cs="Open Sans Light"/>
          <w:i/>
          <w:iCs/>
          <w:sz w:val="18"/>
          <w:szCs w:val="18"/>
        </w:rPr>
        <w:t>What Works for Children’s Social Care</w:t>
      </w:r>
      <w:r w:rsidRPr="6002C6A8">
        <w:rPr>
          <w:rFonts w:ascii="Open Sans Light" w:hAnsi="Open Sans Light" w:cs="Open Sans Light"/>
          <w:sz w:val="18"/>
          <w:szCs w:val="18"/>
        </w:rPr>
        <w:t xml:space="preserve">. Available at: </w:t>
      </w:r>
      <w:hyperlink r:id="rId17">
        <w:r w:rsidRPr="6002C6A8">
          <w:rPr>
            <w:rStyle w:val="Hyperlink"/>
            <w:rFonts w:ascii="Open Sans Light" w:hAnsi="Open Sans Light" w:cs="Open Sans Light"/>
            <w:sz w:val="18"/>
            <w:szCs w:val="18"/>
          </w:rPr>
          <w:t>https://whatworks-csc.org.uk/wp-content/uploads/WWCSC_sufficiency_report_Final_March22.pdf</w:t>
        </w:r>
      </w:hyperlink>
      <w:r w:rsidRPr="6002C6A8">
        <w:rPr>
          <w:rFonts w:ascii="Open Sans Light" w:hAnsi="Open Sans Light" w:cs="Open Sans Light"/>
          <w:sz w:val="18"/>
          <w:szCs w:val="18"/>
        </w:rPr>
        <w:t xml:space="preserve">. </w:t>
      </w:r>
    </w:p>
    <w:p w14:paraId="59E5453C" w14:textId="77777777" w:rsidR="001D07D5" w:rsidRDefault="001D07D5" w:rsidP="001D07D5">
      <w:pPr>
        <w:rPr>
          <w:rFonts w:ascii="Open Sans Light" w:hAnsi="Open Sans Light" w:cs="Open Sans Light"/>
          <w:sz w:val="18"/>
          <w:szCs w:val="18"/>
        </w:rPr>
      </w:pPr>
      <w:r w:rsidRPr="00350BB7">
        <w:rPr>
          <w:rFonts w:ascii="Open Sans Light" w:hAnsi="Open Sans Light" w:cs="Open Sans Light"/>
          <w:sz w:val="18"/>
          <w:szCs w:val="18"/>
        </w:rPr>
        <w:t xml:space="preserve">Blundell, J., Rosenbach, F., Hameed, T., FitzGerald, C. (2019) Are we rallying together? Collaboration and public sector reform. </w:t>
      </w:r>
      <w:r w:rsidRPr="00350BB7">
        <w:rPr>
          <w:rFonts w:ascii="Open Sans Light" w:hAnsi="Open Sans Light" w:cs="Open Sans Light"/>
          <w:i/>
          <w:iCs/>
          <w:sz w:val="18"/>
          <w:szCs w:val="18"/>
        </w:rPr>
        <w:t>Government Outcomes Lab (GO Lab).</w:t>
      </w:r>
      <w:r w:rsidRPr="00350BB7">
        <w:rPr>
          <w:rFonts w:ascii="Open Sans Light" w:hAnsi="Open Sans Light" w:cs="Open Sans Light"/>
          <w:sz w:val="18"/>
          <w:szCs w:val="18"/>
        </w:rPr>
        <w:t xml:space="preserve"> Available at: </w:t>
      </w:r>
      <w:hyperlink r:id="rId18" w:history="1">
        <w:r w:rsidRPr="00350BB7">
          <w:rPr>
            <w:rStyle w:val="Hyperlink"/>
            <w:rFonts w:ascii="Open Sans Light" w:hAnsi="Open Sans Light" w:cs="Open Sans Light"/>
            <w:sz w:val="18"/>
            <w:szCs w:val="18"/>
          </w:rPr>
          <w:t>https://www.activeoxfordshire.org/uploads/bsg-golab-arewerallyingtogether.pdf</w:t>
        </w:r>
      </w:hyperlink>
      <w:r w:rsidRPr="00350BB7">
        <w:rPr>
          <w:rFonts w:ascii="Open Sans Light" w:hAnsi="Open Sans Light" w:cs="Open Sans Light"/>
          <w:sz w:val="18"/>
          <w:szCs w:val="18"/>
        </w:rPr>
        <w:t xml:space="preserve">. </w:t>
      </w:r>
    </w:p>
    <w:p w14:paraId="4B9E06AF" w14:textId="77777777" w:rsidR="001D07D5" w:rsidRDefault="001D07D5" w:rsidP="001D07D5">
      <w:pPr>
        <w:rPr>
          <w:rFonts w:ascii="Open Sans Light" w:hAnsi="Open Sans Light" w:cs="Open Sans Light"/>
          <w:sz w:val="18"/>
          <w:szCs w:val="18"/>
        </w:rPr>
      </w:pPr>
      <w:proofErr w:type="spellStart"/>
      <w:r w:rsidRPr="00A65DAF">
        <w:rPr>
          <w:rFonts w:ascii="Open Sans Light" w:hAnsi="Open Sans Light" w:cs="Open Sans Light"/>
          <w:sz w:val="18"/>
          <w:szCs w:val="18"/>
        </w:rPr>
        <w:t>Carè</w:t>
      </w:r>
      <w:proofErr w:type="spellEnd"/>
      <w:r w:rsidRPr="00A65DAF">
        <w:rPr>
          <w:rFonts w:ascii="Open Sans Light" w:hAnsi="Open Sans Light" w:cs="Open Sans Light"/>
          <w:sz w:val="18"/>
          <w:szCs w:val="18"/>
        </w:rPr>
        <w:t xml:space="preserve">, R. and De Lisa, R. (2019) ‘Social Impact Bonds for a Sustainable Welfare State: The Role of Enabling Factors’, </w:t>
      </w:r>
      <w:r w:rsidRPr="00A65DAF">
        <w:rPr>
          <w:rFonts w:ascii="Open Sans Light" w:hAnsi="Open Sans Light" w:cs="Open Sans Light"/>
          <w:i/>
          <w:iCs/>
          <w:sz w:val="18"/>
          <w:szCs w:val="18"/>
        </w:rPr>
        <w:t>Sustainability</w:t>
      </w:r>
      <w:r w:rsidRPr="00A65DAF">
        <w:rPr>
          <w:rFonts w:ascii="Open Sans Light" w:hAnsi="Open Sans Light" w:cs="Open Sans Light"/>
          <w:sz w:val="18"/>
          <w:szCs w:val="18"/>
        </w:rPr>
        <w:t xml:space="preserve">, 11(10). </w:t>
      </w:r>
    </w:p>
    <w:p w14:paraId="08733308" w14:textId="773A019D" w:rsidR="001D07D5" w:rsidRDefault="001D07D5" w:rsidP="001D07D5">
      <w:pPr>
        <w:rPr>
          <w:rFonts w:ascii="Open Sans Light" w:hAnsi="Open Sans Light" w:cs="Open Sans Light"/>
          <w:sz w:val="18"/>
          <w:szCs w:val="18"/>
        </w:rPr>
      </w:pPr>
      <w:r w:rsidRPr="6002C6A8">
        <w:rPr>
          <w:rFonts w:ascii="Open Sans Light" w:hAnsi="Open Sans Light" w:cs="Open Sans Light"/>
          <w:sz w:val="18"/>
          <w:szCs w:val="18"/>
        </w:rPr>
        <w:t xml:space="preserve">Carter, E. (2019) ‘More than </w:t>
      </w:r>
      <w:proofErr w:type="spellStart"/>
      <w:r w:rsidRPr="6002C6A8">
        <w:rPr>
          <w:rFonts w:ascii="Open Sans Light" w:hAnsi="Open Sans Light" w:cs="Open Sans Light"/>
          <w:sz w:val="18"/>
          <w:szCs w:val="18"/>
        </w:rPr>
        <w:t>marketised</w:t>
      </w:r>
      <w:proofErr w:type="spellEnd"/>
      <w:r w:rsidRPr="6002C6A8">
        <w:rPr>
          <w:rFonts w:ascii="Open Sans Light" w:hAnsi="Open Sans Light" w:cs="Open Sans Light"/>
          <w:sz w:val="18"/>
          <w:szCs w:val="18"/>
        </w:rPr>
        <w:t>? Exploring the governance and accountability mechanisms at play in Social Impact Bonds</w:t>
      </w:r>
      <w:r w:rsidR="6250EAB6" w:rsidRPr="6002C6A8">
        <w:rPr>
          <w:rFonts w:ascii="Open Sans Light" w:hAnsi="Open Sans Light" w:cs="Open Sans Light"/>
          <w:sz w:val="18"/>
          <w:szCs w:val="18"/>
        </w:rPr>
        <w:t>,’</w:t>
      </w:r>
      <w:r w:rsidRPr="6002C6A8">
        <w:rPr>
          <w:rFonts w:ascii="Open Sans Light" w:hAnsi="Open Sans Light" w:cs="Open Sans Light"/>
          <w:sz w:val="18"/>
          <w:szCs w:val="18"/>
        </w:rPr>
        <w:t xml:space="preserve"> </w:t>
      </w:r>
      <w:r w:rsidRPr="6002C6A8">
        <w:rPr>
          <w:rFonts w:ascii="Open Sans Light" w:hAnsi="Open Sans Light" w:cs="Open Sans Light"/>
          <w:i/>
          <w:iCs/>
          <w:sz w:val="18"/>
          <w:szCs w:val="18"/>
        </w:rPr>
        <w:t>Journal of Economic Policy Reform</w:t>
      </w:r>
      <w:r w:rsidRPr="6002C6A8">
        <w:rPr>
          <w:rFonts w:ascii="Open Sans Light" w:hAnsi="Open Sans Light" w:cs="Open Sans Light"/>
          <w:sz w:val="18"/>
          <w:szCs w:val="18"/>
        </w:rPr>
        <w:t xml:space="preserve">, 24(1). </w:t>
      </w:r>
    </w:p>
    <w:p w14:paraId="434EE917" w14:textId="4814610B" w:rsidR="008B2587" w:rsidRPr="008B2587" w:rsidRDefault="008B2587" w:rsidP="001D07D5">
      <w:pPr>
        <w:rPr>
          <w:rFonts w:ascii="Open Sans Light" w:hAnsi="Open Sans Light" w:cs="Open Sans Light"/>
          <w:sz w:val="18"/>
          <w:szCs w:val="18"/>
        </w:rPr>
      </w:pPr>
      <w:r w:rsidRPr="6002C6A8">
        <w:rPr>
          <w:rFonts w:ascii="Open Sans Light" w:hAnsi="Open Sans Light" w:cs="Open Sans Light"/>
          <w:sz w:val="18"/>
          <w:szCs w:val="18"/>
        </w:rPr>
        <w:t xml:space="preserve">Carter, E., FitzGerald, C., Dixon, R., Economy, </w:t>
      </w:r>
      <w:r w:rsidR="0DB106CE" w:rsidRPr="6002C6A8">
        <w:rPr>
          <w:rFonts w:ascii="Open Sans Light" w:hAnsi="Open Sans Light" w:cs="Open Sans Light"/>
          <w:sz w:val="18"/>
          <w:szCs w:val="18"/>
        </w:rPr>
        <w:t>C.</w:t>
      </w:r>
      <w:r w:rsidRPr="6002C6A8">
        <w:rPr>
          <w:rFonts w:ascii="Open Sans Light" w:hAnsi="Open Sans Light" w:cs="Open Sans Light"/>
          <w:sz w:val="18"/>
          <w:szCs w:val="18"/>
        </w:rPr>
        <w:t xml:space="preserve"> Hameed T., Airoldi M. (2018) Building the tools for public services to secure better outcomes: Collaboration, Prevention, Innovation. </w:t>
      </w:r>
      <w:r w:rsidRPr="6002C6A8">
        <w:rPr>
          <w:rFonts w:ascii="Open Sans Light" w:hAnsi="Open Sans Light" w:cs="Open Sans Light"/>
          <w:i/>
          <w:iCs/>
          <w:sz w:val="18"/>
          <w:szCs w:val="18"/>
        </w:rPr>
        <w:t xml:space="preserve">Government Outcomes Lab (GO Lab). </w:t>
      </w:r>
      <w:r w:rsidRPr="6002C6A8">
        <w:rPr>
          <w:rFonts w:ascii="Open Sans Light" w:hAnsi="Open Sans Light" w:cs="Open Sans Light"/>
          <w:sz w:val="18"/>
          <w:szCs w:val="18"/>
        </w:rPr>
        <w:t xml:space="preserve">Available at: </w:t>
      </w:r>
      <w:hyperlink r:id="rId19">
        <w:r w:rsidRPr="6002C6A8">
          <w:rPr>
            <w:rStyle w:val="Hyperlink"/>
            <w:rFonts w:ascii="Open Sans Light" w:hAnsi="Open Sans Light" w:cs="Open Sans Light"/>
            <w:sz w:val="18"/>
            <w:szCs w:val="18"/>
          </w:rPr>
          <w:t>https://golab.bsg.ox.ac.uk/knowledge-bank/resource-library/evidence-report/</w:t>
        </w:r>
      </w:hyperlink>
      <w:r w:rsidRPr="6002C6A8">
        <w:rPr>
          <w:rFonts w:ascii="Open Sans Light" w:hAnsi="Open Sans Light" w:cs="Open Sans Light"/>
          <w:sz w:val="18"/>
          <w:szCs w:val="18"/>
        </w:rPr>
        <w:t xml:space="preserve"> </w:t>
      </w:r>
    </w:p>
    <w:p w14:paraId="00D29C40" w14:textId="59082AD7" w:rsidR="00FC68F9" w:rsidRPr="00FC68F9" w:rsidRDefault="00FC68F9" w:rsidP="001D07D5">
      <w:pPr>
        <w:rPr>
          <w:rFonts w:ascii="Open Sans Light" w:hAnsi="Open Sans Light" w:cs="Open Sans Light"/>
          <w:sz w:val="18"/>
          <w:szCs w:val="18"/>
        </w:rPr>
      </w:pPr>
      <w:r w:rsidRPr="6002C6A8">
        <w:rPr>
          <w:rFonts w:ascii="Open Sans Light" w:hAnsi="Open Sans Light" w:cs="Open Sans Light"/>
          <w:sz w:val="18"/>
          <w:szCs w:val="18"/>
        </w:rPr>
        <w:t xml:space="preserve">Charlesworth, A., Davies, A., and Dixon, J. (2012) ‘Reforming payment for health care in Europe to achieve better value’ </w:t>
      </w:r>
      <w:r w:rsidRPr="6002C6A8">
        <w:rPr>
          <w:rFonts w:ascii="Open Sans Light" w:hAnsi="Open Sans Light" w:cs="Open Sans Light"/>
          <w:i/>
          <w:iCs/>
          <w:sz w:val="18"/>
          <w:szCs w:val="18"/>
        </w:rPr>
        <w:t xml:space="preserve">Nuffield Trust. </w:t>
      </w:r>
      <w:r w:rsidRPr="6002C6A8">
        <w:rPr>
          <w:rFonts w:ascii="Open Sans Light" w:hAnsi="Open Sans Light" w:cs="Open Sans Light"/>
          <w:sz w:val="18"/>
          <w:szCs w:val="18"/>
        </w:rPr>
        <w:t xml:space="preserve">Available </w:t>
      </w:r>
      <w:r w:rsidR="09782A7F" w:rsidRPr="6002C6A8">
        <w:rPr>
          <w:rFonts w:ascii="Open Sans Light" w:hAnsi="Open Sans Light" w:cs="Open Sans Light"/>
          <w:sz w:val="18"/>
          <w:szCs w:val="18"/>
        </w:rPr>
        <w:t>at:</w:t>
      </w:r>
      <w:r w:rsidRPr="6002C6A8">
        <w:rPr>
          <w:rFonts w:ascii="Open Sans Light" w:hAnsi="Open Sans Light" w:cs="Open Sans Light"/>
          <w:sz w:val="18"/>
          <w:szCs w:val="18"/>
        </w:rPr>
        <w:t xml:space="preserve"> </w:t>
      </w:r>
      <w:hyperlink r:id="rId20">
        <w:r w:rsidRPr="6002C6A8">
          <w:rPr>
            <w:rStyle w:val="Hyperlink"/>
            <w:rFonts w:ascii="Open Sans Light" w:hAnsi="Open Sans Light" w:cs="Open Sans Light"/>
            <w:sz w:val="18"/>
            <w:szCs w:val="18"/>
          </w:rPr>
          <w:t>https://www.nuffieldtrust.org.uk/research/reforming-payment-for-health-care-in-europe-to-achieve-better-value</w:t>
        </w:r>
      </w:hyperlink>
      <w:r w:rsidRPr="6002C6A8">
        <w:rPr>
          <w:rFonts w:ascii="Open Sans Light" w:hAnsi="Open Sans Light" w:cs="Open Sans Light"/>
          <w:sz w:val="18"/>
          <w:szCs w:val="18"/>
        </w:rPr>
        <w:t xml:space="preserve"> </w:t>
      </w:r>
    </w:p>
    <w:p w14:paraId="46796A03" w14:textId="5677F61F" w:rsidR="001D07D5" w:rsidRDefault="001D07D5" w:rsidP="001D07D5">
      <w:pPr>
        <w:rPr>
          <w:rFonts w:ascii="Open Sans Light" w:hAnsi="Open Sans Light" w:cs="Open Sans Light"/>
          <w:sz w:val="18"/>
          <w:szCs w:val="18"/>
        </w:rPr>
      </w:pPr>
      <w:proofErr w:type="spellStart"/>
      <w:r w:rsidRPr="6002C6A8">
        <w:rPr>
          <w:rFonts w:ascii="Open Sans Light" w:hAnsi="Open Sans Light" w:cs="Open Sans Light"/>
          <w:sz w:val="18"/>
          <w:szCs w:val="18"/>
        </w:rPr>
        <w:t>Checkland</w:t>
      </w:r>
      <w:proofErr w:type="spellEnd"/>
      <w:r w:rsidRPr="6002C6A8">
        <w:rPr>
          <w:rFonts w:ascii="Open Sans Light" w:hAnsi="Open Sans Light" w:cs="Open Sans Light"/>
          <w:sz w:val="18"/>
          <w:szCs w:val="18"/>
        </w:rPr>
        <w:t xml:space="preserve">, K., Hammond, J., Sutton, M., Coleman, A., Allen, P., Mays, N., Mason, T., Wilding, A., Warwick-Giles, L., and Hall, A. (2018) ‘Understanding the new commissioning system in England: contexts, mechanisms and outcomes’, </w:t>
      </w:r>
      <w:r w:rsidRPr="6002C6A8">
        <w:rPr>
          <w:rFonts w:ascii="Open Sans Light" w:hAnsi="Open Sans Light" w:cs="Open Sans Light"/>
          <w:i/>
          <w:iCs/>
          <w:sz w:val="18"/>
          <w:szCs w:val="18"/>
        </w:rPr>
        <w:t xml:space="preserve">University of </w:t>
      </w:r>
      <w:r w:rsidR="294A2738" w:rsidRPr="6002C6A8">
        <w:rPr>
          <w:rFonts w:ascii="Open Sans Light" w:hAnsi="Open Sans Light" w:cs="Open Sans Light"/>
          <w:i/>
          <w:iCs/>
          <w:sz w:val="18"/>
          <w:szCs w:val="18"/>
        </w:rPr>
        <w:t>Manchester,</w:t>
      </w:r>
      <w:r w:rsidRPr="6002C6A8">
        <w:rPr>
          <w:rFonts w:ascii="Open Sans Light" w:hAnsi="Open Sans Light" w:cs="Open Sans Light"/>
          <w:i/>
          <w:iCs/>
          <w:sz w:val="18"/>
          <w:szCs w:val="18"/>
        </w:rPr>
        <w:t xml:space="preserve"> and London School of Hygiene &amp; Tropical Medicine</w:t>
      </w:r>
      <w:r w:rsidRPr="6002C6A8">
        <w:rPr>
          <w:rFonts w:ascii="Open Sans Light" w:hAnsi="Open Sans Light" w:cs="Open Sans Light"/>
          <w:sz w:val="18"/>
          <w:szCs w:val="18"/>
        </w:rPr>
        <w:t xml:space="preserve">. Available at: </w:t>
      </w:r>
      <w:hyperlink r:id="rId21">
        <w:r w:rsidRPr="6002C6A8">
          <w:rPr>
            <w:rStyle w:val="Hyperlink"/>
            <w:rFonts w:ascii="Open Sans Light" w:hAnsi="Open Sans Light" w:cs="Open Sans Light"/>
            <w:sz w:val="18"/>
            <w:szCs w:val="18"/>
          </w:rPr>
          <w:t>https://prucomm.ac.uk/assets/uploads/blog/2018/11/Understanding-the-new-commissioning-system-in-England-FINAL-REPORT-PR-R6-1113-25001-post-peer-review-v2.pdf</w:t>
        </w:r>
      </w:hyperlink>
      <w:r w:rsidRPr="6002C6A8">
        <w:rPr>
          <w:rFonts w:ascii="Open Sans Light" w:hAnsi="Open Sans Light" w:cs="Open Sans Light"/>
          <w:sz w:val="18"/>
          <w:szCs w:val="18"/>
        </w:rPr>
        <w:t xml:space="preserve">. </w:t>
      </w:r>
    </w:p>
    <w:p w14:paraId="3AE4C018" w14:textId="77777777" w:rsidR="001D07D5" w:rsidRDefault="001D07D5" w:rsidP="001D07D5">
      <w:pPr>
        <w:rPr>
          <w:rFonts w:ascii="Open Sans Light" w:hAnsi="Open Sans Light" w:cs="Open Sans Light"/>
          <w:sz w:val="18"/>
          <w:szCs w:val="18"/>
        </w:rPr>
      </w:pPr>
      <w:r w:rsidRPr="003A6861">
        <w:rPr>
          <w:rFonts w:ascii="Open Sans Light" w:hAnsi="Open Sans Light" w:cs="Open Sans Light"/>
          <w:sz w:val="18"/>
          <w:szCs w:val="18"/>
        </w:rPr>
        <w:t xml:space="preserve">Cools, P. and </w:t>
      </w:r>
      <w:proofErr w:type="spellStart"/>
      <w:r w:rsidRPr="003A6861">
        <w:rPr>
          <w:rFonts w:ascii="Open Sans Light" w:hAnsi="Open Sans Light" w:cs="Open Sans Light"/>
          <w:sz w:val="18"/>
          <w:szCs w:val="18"/>
        </w:rPr>
        <w:t>Oosterlynck</w:t>
      </w:r>
      <w:proofErr w:type="spellEnd"/>
      <w:r w:rsidRPr="003A6861">
        <w:rPr>
          <w:rFonts w:ascii="Open Sans Light" w:hAnsi="Open Sans Light" w:cs="Open Sans Light"/>
          <w:sz w:val="18"/>
          <w:szCs w:val="18"/>
        </w:rPr>
        <w:t xml:space="preserve"> (2016) Inspire! ‘NEET’ programme for North London, </w:t>
      </w:r>
      <w:proofErr w:type="spellStart"/>
      <w:r w:rsidRPr="003A6861">
        <w:rPr>
          <w:rFonts w:ascii="Open Sans Light" w:hAnsi="Open Sans Light" w:cs="Open Sans Light"/>
          <w:sz w:val="18"/>
          <w:szCs w:val="18"/>
        </w:rPr>
        <w:t>ImPRovE</w:t>
      </w:r>
      <w:proofErr w:type="spellEnd"/>
      <w:r w:rsidRPr="003A6861">
        <w:rPr>
          <w:rFonts w:ascii="Open Sans Light" w:hAnsi="Open Sans Light" w:cs="Open Sans Light"/>
          <w:sz w:val="18"/>
          <w:szCs w:val="18"/>
        </w:rPr>
        <w:t xml:space="preserve"> Case Study N° 11/31, </w:t>
      </w:r>
      <w:r w:rsidRPr="003A6861">
        <w:rPr>
          <w:rFonts w:ascii="Open Sans Light" w:hAnsi="Open Sans Light" w:cs="Open Sans Light"/>
          <w:i/>
          <w:iCs/>
          <w:sz w:val="18"/>
          <w:szCs w:val="18"/>
        </w:rPr>
        <w:t xml:space="preserve">Herman </w:t>
      </w:r>
      <w:proofErr w:type="spellStart"/>
      <w:r w:rsidRPr="003A6861">
        <w:rPr>
          <w:rFonts w:ascii="Open Sans Light" w:hAnsi="Open Sans Light" w:cs="Open Sans Light"/>
          <w:i/>
          <w:iCs/>
          <w:sz w:val="18"/>
          <w:szCs w:val="18"/>
        </w:rPr>
        <w:t>Deleeck</w:t>
      </w:r>
      <w:proofErr w:type="spellEnd"/>
      <w:r w:rsidRPr="003A6861">
        <w:rPr>
          <w:rFonts w:ascii="Open Sans Light" w:hAnsi="Open Sans Light" w:cs="Open Sans Light"/>
          <w:i/>
          <w:iCs/>
          <w:sz w:val="18"/>
          <w:szCs w:val="18"/>
        </w:rPr>
        <w:t xml:space="preserve"> Centre for Social Policy University of Antwerp. </w:t>
      </w:r>
      <w:r w:rsidRPr="003A6861">
        <w:rPr>
          <w:rFonts w:ascii="Open Sans Light" w:hAnsi="Open Sans Light" w:cs="Open Sans Light"/>
          <w:sz w:val="18"/>
          <w:szCs w:val="18"/>
        </w:rPr>
        <w:t xml:space="preserve">Available from: </w:t>
      </w:r>
      <w:hyperlink r:id="rId22" w:history="1">
        <w:r w:rsidRPr="003A6861">
          <w:rPr>
            <w:rStyle w:val="Hyperlink"/>
            <w:rFonts w:ascii="Open Sans Light" w:hAnsi="Open Sans Light" w:cs="Open Sans Light"/>
            <w:sz w:val="18"/>
            <w:szCs w:val="18"/>
          </w:rPr>
          <w:t>https://www.yoh.org.uk/wp-content/uploads/2021/03/Improve-CS31_InspireNEET_1.pdf</w:t>
        </w:r>
      </w:hyperlink>
      <w:r w:rsidRPr="003A6861">
        <w:rPr>
          <w:rFonts w:ascii="Open Sans Light" w:hAnsi="Open Sans Light" w:cs="Open Sans Light"/>
          <w:sz w:val="18"/>
          <w:szCs w:val="18"/>
        </w:rPr>
        <w:t xml:space="preserve">. </w:t>
      </w:r>
    </w:p>
    <w:p w14:paraId="74AA2BBD" w14:textId="77777777" w:rsidR="001D07D5" w:rsidRDefault="001D07D5" w:rsidP="001D07D5">
      <w:pPr>
        <w:rPr>
          <w:rFonts w:ascii="Open Sans Light" w:hAnsi="Open Sans Light" w:cs="Open Sans Light"/>
          <w:sz w:val="18"/>
          <w:szCs w:val="18"/>
        </w:rPr>
      </w:pPr>
      <w:r w:rsidRPr="00350BB7">
        <w:rPr>
          <w:rFonts w:ascii="Open Sans Light" w:hAnsi="Open Sans Light" w:cs="Open Sans Light"/>
          <w:sz w:val="18"/>
          <w:szCs w:val="18"/>
        </w:rPr>
        <w:t xml:space="preserve">Damm, C., Green, A., Wells, P. (2020) Talent Match Evaluation: Comparative Report, </w:t>
      </w:r>
      <w:r w:rsidRPr="00350BB7">
        <w:rPr>
          <w:rFonts w:ascii="Open Sans Light" w:hAnsi="Open Sans Light" w:cs="Open Sans Light"/>
          <w:i/>
          <w:iCs/>
          <w:sz w:val="18"/>
          <w:szCs w:val="18"/>
        </w:rPr>
        <w:t>National Lottery Community Fund</w:t>
      </w:r>
      <w:r w:rsidRPr="00350BB7">
        <w:rPr>
          <w:rFonts w:ascii="Open Sans Light" w:hAnsi="Open Sans Light" w:cs="Open Sans Light"/>
          <w:sz w:val="18"/>
          <w:szCs w:val="18"/>
        </w:rPr>
        <w:t xml:space="preserve">. Available at: </w:t>
      </w:r>
      <w:hyperlink r:id="rId23" w:history="1">
        <w:r w:rsidRPr="00350BB7">
          <w:rPr>
            <w:rStyle w:val="Hyperlink"/>
            <w:rFonts w:ascii="Open Sans Light" w:hAnsi="Open Sans Light" w:cs="Open Sans Light"/>
            <w:sz w:val="18"/>
            <w:szCs w:val="18"/>
          </w:rPr>
          <w:t>http://shura.shu.ac.uk/26572/1/tm-eval-comparative-final-2020.pdf</w:t>
        </w:r>
      </w:hyperlink>
      <w:r w:rsidRPr="00350BB7">
        <w:rPr>
          <w:rFonts w:ascii="Open Sans Light" w:hAnsi="Open Sans Light" w:cs="Open Sans Light"/>
          <w:sz w:val="18"/>
          <w:szCs w:val="18"/>
        </w:rPr>
        <w:t xml:space="preserve">. </w:t>
      </w:r>
    </w:p>
    <w:p w14:paraId="3F5CD564" w14:textId="77777777" w:rsidR="001D07D5" w:rsidRDefault="001D07D5" w:rsidP="001D07D5">
      <w:pPr>
        <w:rPr>
          <w:rFonts w:ascii="Open Sans Light" w:hAnsi="Open Sans Light" w:cs="Open Sans Light"/>
          <w:sz w:val="18"/>
          <w:szCs w:val="18"/>
        </w:rPr>
      </w:pPr>
      <w:r w:rsidRPr="00A65DAF">
        <w:rPr>
          <w:rFonts w:ascii="Open Sans Light" w:hAnsi="Open Sans Light" w:cs="Open Sans Light"/>
          <w:sz w:val="18"/>
          <w:szCs w:val="18"/>
        </w:rPr>
        <w:t xml:space="preserve">Davies, K., Dalgarno, E., Angel, C., Davies, S., Hughes, J., Chester, H., </w:t>
      </w:r>
      <w:proofErr w:type="spellStart"/>
      <w:r w:rsidRPr="00A65DAF">
        <w:rPr>
          <w:rFonts w:ascii="Open Sans Light" w:hAnsi="Open Sans Light" w:cs="Open Sans Light"/>
          <w:sz w:val="18"/>
          <w:szCs w:val="18"/>
        </w:rPr>
        <w:t>Japser</w:t>
      </w:r>
      <w:proofErr w:type="spellEnd"/>
      <w:r w:rsidRPr="00A65DAF">
        <w:rPr>
          <w:rFonts w:ascii="Open Sans Light" w:hAnsi="Open Sans Light" w:cs="Open Sans Light"/>
          <w:sz w:val="18"/>
          <w:szCs w:val="18"/>
        </w:rPr>
        <w:t xml:space="preserve">, R., Roberts, A., and Challis, D. (2020) ‘Home-care providers as collaborators in commissioning arrangements for older people’, </w:t>
      </w:r>
      <w:r w:rsidRPr="00A65DAF">
        <w:rPr>
          <w:rFonts w:ascii="Open Sans Light" w:hAnsi="Open Sans Light" w:cs="Open Sans Light"/>
          <w:i/>
          <w:iCs/>
          <w:sz w:val="18"/>
          <w:szCs w:val="18"/>
        </w:rPr>
        <w:t>Health and Social Care in the community</w:t>
      </w:r>
      <w:r w:rsidRPr="00A65DAF">
        <w:rPr>
          <w:rFonts w:ascii="Open Sans Light" w:hAnsi="Open Sans Light" w:cs="Open Sans Light"/>
          <w:sz w:val="18"/>
          <w:szCs w:val="18"/>
        </w:rPr>
        <w:t xml:space="preserve">, 30(2), pp. 644-655. </w:t>
      </w:r>
    </w:p>
    <w:p w14:paraId="67732E2C" w14:textId="77777777" w:rsidR="001D07D5" w:rsidRDefault="001D07D5" w:rsidP="001D07D5">
      <w:pPr>
        <w:rPr>
          <w:rFonts w:ascii="Open Sans Light" w:hAnsi="Open Sans Light" w:cs="Open Sans Light"/>
          <w:sz w:val="18"/>
          <w:szCs w:val="18"/>
        </w:rPr>
      </w:pPr>
      <w:r w:rsidRPr="00A65DAF">
        <w:rPr>
          <w:rFonts w:ascii="Open Sans Light" w:hAnsi="Open Sans Light" w:cs="Open Sans Light"/>
          <w:sz w:val="18"/>
          <w:szCs w:val="18"/>
        </w:rPr>
        <w:t xml:space="preserve">Day, L, Bryson, C, White, C, Purdon, S, </w:t>
      </w:r>
      <w:proofErr w:type="spellStart"/>
      <w:r w:rsidRPr="00A65DAF">
        <w:rPr>
          <w:rFonts w:ascii="Open Sans Light" w:hAnsi="Open Sans Light" w:cs="Open Sans Light"/>
          <w:sz w:val="18"/>
          <w:szCs w:val="18"/>
        </w:rPr>
        <w:t>Brewely</w:t>
      </w:r>
      <w:proofErr w:type="spellEnd"/>
      <w:r w:rsidRPr="00A65DAF">
        <w:rPr>
          <w:rFonts w:ascii="Open Sans Light" w:hAnsi="Open Sans Light" w:cs="Open Sans Light"/>
          <w:sz w:val="18"/>
          <w:szCs w:val="18"/>
        </w:rPr>
        <w:t>, H, Kirchner, L, Portes, J. (2016)</w:t>
      </w:r>
      <w:r w:rsidRPr="00A65DAF">
        <w:rPr>
          <w:rFonts w:ascii="Open Sans Light" w:hAnsi="Open Sans Light" w:cs="Open Sans Light"/>
          <w:b/>
          <w:bCs/>
          <w:sz w:val="18"/>
          <w:szCs w:val="18"/>
        </w:rPr>
        <w:t xml:space="preserve"> </w:t>
      </w:r>
      <w:r w:rsidRPr="00A65DAF">
        <w:rPr>
          <w:rFonts w:ascii="Open Sans Light" w:hAnsi="Open Sans Light" w:cs="Open Sans Light"/>
          <w:sz w:val="18"/>
          <w:szCs w:val="18"/>
        </w:rPr>
        <w:t xml:space="preserve">National Evaluation of the Troubled Families Programme: Final Synthesis Report. Available at: </w:t>
      </w:r>
      <w:hyperlink r:id="rId24" w:history="1">
        <w:r w:rsidRPr="00A65DAF">
          <w:rPr>
            <w:rStyle w:val="Hyperlink"/>
            <w:rFonts w:ascii="Open Sans Light" w:hAnsi="Open Sans Light" w:cs="Open Sans Light"/>
            <w:sz w:val="18"/>
            <w:szCs w:val="18"/>
          </w:rPr>
          <w:t>https://www.basw.co.uk/system/files/resources/basw_52344-7_0.pdf</w:t>
        </w:r>
      </w:hyperlink>
    </w:p>
    <w:p w14:paraId="48BF4DD0" w14:textId="77777777" w:rsidR="001D07D5" w:rsidRDefault="001D07D5" w:rsidP="001D07D5">
      <w:pPr>
        <w:rPr>
          <w:rFonts w:ascii="Open Sans Light" w:hAnsi="Open Sans Light" w:cs="Open Sans Light"/>
          <w:sz w:val="18"/>
          <w:szCs w:val="18"/>
        </w:rPr>
      </w:pPr>
      <w:r w:rsidRPr="003A6861">
        <w:rPr>
          <w:rFonts w:ascii="Open Sans Light" w:hAnsi="Open Sans Light" w:cs="Open Sans Light"/>
          <w:sz w:val="18"/>
          <w:szCs w:val="18"/>
        </w:rPr>
        <w:t xml:space="preserve">Fraser, A., Tan, S., Kruithof, K., Sim, M., Disley, E., Giacomantonio, C., Lagarde, M., and Mays, N. (2018) Evaluation of the Social Impact Bond Trailblazers in Health and Social Care Final report, </w:t>
      </w:r>
      <w:r w:rsidRPr="003A6861">
        <w:rPr>
          <w:rFonts w:ascii="Open Sans Light" w:hAnsi="Open Sans Light" w:cs="Open Sans Light"/>
          <w:i/>
          <w:iCs/>
          <w:sz w:val="18"/>
          <w:szCs w:val="18"/>
        </w:rPr>
        <w:t>Policy Innovation Research Unit</w:t>
      </w:r>
      <w:r w:rsidRPr="003A6861">
        <w:rPr>
          <w:rFonts w:ascii="Open Sans Light" w:hAnsi="Open Sans Light" w:cs="Open Sans Light"/>
          <w:sz w:val="18"/>
          <w:szCs w:val="18"/>
        </w:rPr>
        <w:t xml:space="preserve">. Available at: </w:t>
      </w:r>
      <w:hyperlink r:id="rId25" w:history="1">
        <w:r w:rsidRPr="003A6861">
          <w:rPr>
            <w:rStyle w:val="Hyperlink"/>
            <w:rFonts w:ascii="Open Sans Light" w:hAnsi="Open Sans Light" w:cs="Open Sans Light"/>
            <w:sz w:val="18"/>
            <w:szCs w:val="18"/>
          </w:rPr>
          <w:t>https://researchonline.lshtm.ac.uk/id/eprint/4650174/1/SIB%20Trailblazers%20Evaluation%20final%20report.pdf</w:t>
        </w:r>
      </w:hyperlink>
      <w:r w:rsidRPr="003A6861">
        <w:rPr>
          <w:rFonts w:ascii="Open Sans Light" w:hAnsi="Open Sans Light" w:cs="Open Sans Light"/>
          <w:sz w:val="18"/>
          <w:szCs w:val="18"/>
        </w:rPr>
        <w:t xml:space="preserve">. </w:t>
      </w:r>
    </w:p>
    <w:p w14:paraId="6E18F9C1" w14:textId="77777777" w:rsidR="001D07D5" w:rsidRDefault="001D07D5" w:rsidP="001D07D5">
      <w:pPr>
        <w:rPr>
          <w:rFonts w:ascii="Open Sans Light" w:hAnsi="Open Sans Light" w:cs="Open Sans Light"/>
          <w:sz w:val="18"/>
          <w:szCs w:val="18"/>
        </w:rPr>
      </w:pPr>
      <w:r w:rsidRPr="003A6861">
        <w:rPr>
          <w:rFonts w:ascii="Open Sans Light" w:hAnsi="Open Sans Light" w:cs="Open Sans Light"/>
          <w:sz w:val="18"/>
          <w:szCs w:val="18"/>
        </w:rPr>
        <w:lastRenderedPageBreak/>
        <w:t xml:space="preserve">Gadsby, E.W., Peckham, S., Coleman, A., Bramwell, D., Perkins, N., Jenkins, L.M. (2017) ‘Commissioning for health improvement following the 2012 health and social care reforms in England: what has changed?’, </w:t>
      </w:r>
      <w:r w:rsidRPr="003A6861">
        <w:rPr>
          <w:rFonts w:ascii="Open Sans Light" w:hAnsi="Open Sans Light" w:cs="Open Sans Light"/>
          <w:i/>
          <w:iCs/>
          <w:sz w:val="18"/>
          <w:szCs w:val="18"/>
        </w:rPr>
        <w:t>BMC Public Health</w:t>
      </w:r>
      <w:r w:rsidRPr="003A6861">
        <w:rPr>
          <w:rFonts w:ascii="Open Sans Light" w:hAnsi="Open Sans Light" w:cs="Open Sans Light"/>
          <w:sz w:val="18"/>
          <w:szCs w:val="18"/>
        </w:rPr>
        <w:t>, 17(211).</w:t>
      </w:r>
    </w:p>
    <w:p w14:paraId="4F324F1B" w14:textId="77777777" w:rsidR="001D07D5" w:rsidRDefault="001D07D5" w:rsidP="001D07D5">
      <w:pPr>
        <w:rPr>
          <w:rFonts w:ascii="Open Sans Light" w:hAnsi="Open Sans Light" w:cs="Open Sans Light"/>
          <w:sz w:val="18"/>
          <w:szCs w:val="18"/>
        </w:rPr>
      </w:pPr>
      <w:r w:rsidRPr="001A585A">
        <w:rPr>
          <w:rFonts w:ascii="Open Sans Light" w:hAnsi="Open Sans Light" w:cs="Open Sans Light"/>
          <w:sz w:val="18"/>
          <w:szCs w:val="18"/>
        </w:rPr>
        <w:t xml:space="preserve">Hamblin, K. (2020) ‘Technology and Social Care in a Digital World: Challenges and Opportunities in the UK’, </w:t>
      </w:r>
      <w:r w:rsidRPr="001A585A">
        <w:rPr>
          <w:rFonts w:ascii="Open Sans Light" w:hAnsi="Open Sans Light" w:cs="Open Sans Light"/>
          <w:i/>
          <w:iCs/>
          <w:sz w:val="18"/>
          <w:szCs w:val="18"/>
        </w:rPr>
        <w:t>Journal of Enabling Technologies</w:t>
      </w:r>
      <w:r w:rsidRPr="001A585A">
        <w:rPr>
          <w:rFonts w:ascii="Open Sans Light" w:hAnsi="Open Sans Light" w:cs="Open Sans Light"/>
          <w:sz w:val="18"/>
          <w:szCs w:val="18"/>
        </w:rPr>
        <w:t>, 14(2), pp. 115-125.</w:t>
      </w:r>
    </w:p>
    <w:p w14:paraId="5811B186" w14:textId="77777777" w:rsidR="001D07D5" w:rsidRPr="002D78A3" w:rsidRDefault="001D07D5" w:rsidP="001D07D5">
      <w:pPr>
        <w:rPr>
          <w:rFonts w:ascii="Open Sans Light" w:hAnsi="Open Sans Light" w:cs="Open Sans Light"/>
          <w:sz w:val="18"/>
          <w:szCs w:val="18"/>
        </w:rPr>
      </w:pPr>
      <w:r w:rsidRPr="00A65DAF">
        <w:rPr>
          <w:rFonts w:ascii="Open Sans Light" w:hAnsi="Open Sans Light" w:cs="Open Sans Light"/>
          <w:sz w:val="18"/>
          <w:szCs w:val="18"/>
        </w:rPr>
        <w:t xml:space="preserve">Hameed, T., Carter, E., Macdonald, J. R., Shiva, M., Baker, C. (2021) The use of social impact bonds in children’s social care: A comparative analysis of project justifications and design considerations in the Life Chances Fund, </w:t>
      </w:r>
      <w:r w:rsidRPr="00A65DAF">
        <w:rPr>
          <w:rFonts w:ascii="Open Sans Light" w:hAnsi="Open Sans Light" w:cs="Open Sans Light"/>
          <w:i/>
          <w:iCs/>
          <w:sz w:val="18"/>
          <w:szCs w:val="18"/>
        </w:rPr>
        <w:t>Government Outcomes Lab (GO Lab).</w:t>
      </w:r>
      <w:r w:rsidRPr="00A65DAF">
        <w:rPr>
          <w:rFonts w:ascii="Open Sans Light" w:hAnsi="Open Sans Light" w:cs="Open Sans Light"/>
          <w:sz w:val="18"/>
          <w:szCs w:val="18"/>
        </w:rPr>
        <w:t xml:space="preserve"> Available at: </w:t>
      </w:r>
      <w:hyperlink r:id="rId26" w:history="1">
        <w:r w:rsidRPr="00A65DAF">
          <w:rPr>
            <w:rStyle w:val="Hyperlink"/>
            <w:rFonts w:ascii="Open Sans Light" w:hAnsi="Open Sans Light" w:cs="Open Sans Light"/>
            <w:sz w:val="18"/>
            <w:szCs w:val="18"/>
          </w:rPr>
          <w:t>https://golab.bsg.ox.ac.uk/knowledge-bank/resources/the-use-of-social-impact-bonds-in-childrens-social-care-a-comparative-analysis-of-project-justifications-and-design-considerations-in-the-life-chances-fund/</w:t>
        </w:r>
      </w:hyperlink>
      <w:r w:rsidRPr="00A65DAF">
        <w:rPr>
          <w:rFonts w:ascii="Open Sans Light" w:hAnsi="Open Sans Light" w:cs="Open Sans Light"/>
          <w:sz w:val="18"/>
          <w:szCs w:val="18"/>
        </w:rPr>
        <w:t xml:space="preserve">. </w:t>
      </w:r>
    </w:p>
    <w:p w14:paraId="39D43F0B" w14:textId="77777777" w:rsidR="001D07D5" w:rsidRDefault="001D07D5" w:rsidP="001D07D5">
      <w:pPr>
        <w:rPr>
          <w:rFonts w:ascii="Open Sans Light" w:hAnsi="Open Sans Light" w:cs="Open Sans Light"/>
          <w:sz w:val="18"/>
          <w:szCs w:val="18"/>
        </w:rPr>
      </w:pPr>
      <w:r w:rsidRPr="00A65DAF">
        <w:rPr>
          <w:rFonts w:ascii="Open Sans Light" w:hAnsi="Open Sans Light" w:cs="Open Sans Light"/>
          <w:sz w:val="18"/>
          <w:szCs w:val="18"/>
        </w:rPr>
        <w:t xml:space="preserve">Jefferson, L., Cream, J., Birks, Y., Bloor, K., and Murray, R. (2017) ‘Adult Social Care Local Authority Commissioning Behaviours’, </w:t>
      </w:r>
      <w:r w:rsidRPr="00A65DAF">
        <w:rPr>
          <w:rFonts w:ascii="Open Sans Light" w:hAnsi="Open Sans Light" w:cs="Open Sans Light"/>
          <w:i/>
          <w:iCs/>
          <w:sz w:val="18"/>
          <w:szCs w:val="18"/>
        </w:rPr>
        <w:t>Partnership for Responsive Policy Analysis and Research (PREPARE).</w:t>
      </w:r>
      <w:r w:rsidRPr="00A65DAF">
        <w:rPr>
          <w:rFonts w:ascii="Open Sans Light" w:hAnsi="Open Sans Light" w:cs="Open Sans Light"/>
          <w:sz w:val="18"/>
          <w:szCs w:val="18"/>
        </w:rPr>
        <w:t xml:space="preserve"> Available at: </w:t>
      </w:r>
      <w:hyperlink r:id="rId27" w:history="1">
        <w:r w:rsidRPr="00A65DAF">
          <w:rPr>
            <w:rStyle w:val="Hyperlink"/>
            <w:rFonts w:ascii="Open Sans Light" w:hAnsi="Open Sans Light" w:cs="Open Sans Light"/>
            <w:sz w:val="18"/>
            <w:szCs w:val="18"/>
          </w:rPr>
          <w:t>https://www.york.ac.uk/media/healthsciences/images/research/prepare/AdultSocialCareLocalCommissioningBehaviours.pdf</w:t>
        </w:r>
      </w:hyperlink>
      <w:r w:rsidRPr="00A65DAF">
        <w:rPr>
          <w:rFonts w:ascii="Open Sans Light" w:hAnsi="Open Sans Light" w:cs="Open Sans Light"/>
          <w:sz w:val="18"/>
          <w:szCs w:val="18"/>
        </w:rPr>
        <w:t xml:space="preserve">. </w:t>
      </w:r>
    </w:p>
    <w:p w14:paraId="1E8348EA" w14:textId="77777777" w:rsidR="001D07D5" w:rsidRPr="001A585A" w:rsidRDefault="001D07D5" w:rsidP="001D07D5">
      <w:pPr>
        <w:rPr>
          <w:rFonts w:ascii="Open Sans Light" w:hAnsi="Open Sans Light" w:cs="Open Sans Light"/>
          <w:sz w:val="18"/>
          <w:szCs w:val="18"/>
        </w:rPr>
      </w:pPr>
      <w:r w:rsidRPr="001A585A">
        <w:rPr>
          <w:rFonts w:ascii="Open Sans Light" w:hAnsi="Open Sans Light" w:cs="Open Sans Light"/>
          <w:sz w:val="18"/>
          <w:szCs w:val="18"/>
        </w:rPr>
        <w:t xml:space="preserve">Jefferson, L., Cream, J., Birks, Y., Bloor, K., and Murray, R. (2017) ‘Adult Social Care Local Authority Commissioning Behaviours’, </w:t>
      </w:r>
      <w:r w:rsidRPr="001A585A">
        <w:rPr>
          <w:rFonts w:ascii="Open Sans Light" w:hAnsi="Open Sans Light" w:cs="Open Sans Light"/>
          <w:i/>
          <w:iCs/>
          <w:sz w:val="18"/>
          <w:szCs w:val="18"/>
        </w:rPr>
        <w:t>Partnership for Responsive Policy Analysis and Research (PREPARE).</w:t>
      </w:r>
      <w:r w:rsidRPr="001A585A">
        <w:rPr>
          <w:rFonts w:ascii="Open Sans Light" w:hAnsi="Open Sans Light" w:cs="Open Sans Light"/>
          <w:sz w:val="18"/>
          <w:szCs w:val="18"/>
        </w:rPr>
        <w:t xml:space="preserve"> Available at: </w:t>
      </w:r>
      <w:hyperlink r:id="rId28" w:history="1">
        <w:r w:rsidRPr="001A585A">
          <w:rPr>
            <w:rStyle w:val="Hyperlink"/>
            <w:rFonts w:ascii="Open Sans Light" w:hAnsi="Open Sans Light" w:cs="Open Sans Light"/>
            <w:sz w:val="18"/>
            <w:szCs w:val="18"/>
          </w:rPr>
          <w:t>https://www.york.ac.uk/media/healthsciences/images/research/prepare/AdultSocialCareLocalCommissioningBehaviours.pdf</w:t>
        </w:r>
      </w:hyperlink>
      <w:r w:rsidRPr="001A585A">
        <w:rPr>
          <w:rFonts w:ascii="Open Sans Light" w:hAnsi="Open Sans Light" w:cs="Open Sans Light"/>
          <w:sz w:val="18"/>
          <w:szCs w:val="18"/>
        </w:rPr>
        <w:t xml:space="preserve">. </w:t>
      </w:r>
    </w:p>
    <w:p w14:paraId="2D90EA2A" w14:textId="77777777" w:rsidR="001D07D5" w:rsidRDefault="001D07D5" w:rsidP="001D07D5">
      <w:pPr>
        <w:rPr>
          <w:rFonts w:ascii="Open Sans Light" w:hAnsi="Open Sans Light" w:cs="Open Sans Light"/>
          <w:sz w:val="18"/>
          <w:szCs w:val="18"/>
        </w:rPr>
      </w:pPr>
      <w:r w:rsidRPr="6002C6A8">
        <w:rPr>
          <w:rFonts w:ascii="Open Sans Light" w:hAnsi="Open Sans Light" w:cs="Open Sans Light"/>
          <w:sz w:val="18"/>
          <w:szCs w:val="18"/>
        </w:rPr>
        <w:t xml:space="preserve">Johal, A. and Ng, G. (2022) ‘Outcomes </w:t>
      </w:r>
      <w:bookmarkStart w:id="97" w:name="_Int_44cxJpaO"/>
      <w:r w:rsidRPr="6002C6A8">
        <w:rPr>
          <w:rFonts w:ascii="Open Sans Light" w:hAnsi="Open Sans Light" w:cs="Open Sans Light"/>
          <w:sz w:val="18"/>
          <w:szCs w:val="18"/>
        </w:rPr>
        <w:t>For</w:t>
      </w:r>
      <w:bookmarkEnd w:id="97"/>
      <w:r w:rsidRPr="6002C6A8">
        <w:rPr>
          <w:rFonts w:ascii="Open Sans Light" w:hAnsi="Open Sans Light" w:cs="Open Sans Light"/>
          <w:sz w:val="18"/>
          <w:szCs w:val="18"/>
        </w:rPr>
        <w:t xml:space="preserve"> All: 10 Years of Social Outcomes Contracts’, </w:t>
      </w:r>
      <w:r w:rsidRPr="6002C6A8">
        <w:rPr>
          <w:rFonts w:ascii="Open Sans Light" w:hAnsi="Open Sans Light" w:cs="Open Sans Light"/>
          <w:i/>
          <w:iCs/>
          <w:sz w:val="18"/>
          <w:szCs w:val="18"/>
        </w:rPr>
        <w:t>Big Society Capital</w:t>
      </w:r>
      <w:r w:rsidRPr="6002C6A8">
        <w:rPr>
          <w:rFonts w:ascii="Open Sans Light" w:hAnsi="Open Sans Light" w:cs="Open Sans Light"/>
          <w:sz w:val="18"/>
          <w:szCs w:val="18"/>
        </w:rPr>
        <w:t xml:space="preserve">. Available at: </w:t>
      </w:r>
      <w:hyperlink r:id="rId29">
        <w:r w:rsidRPr="6002C6A8">
          <w:rPr>
            <w:rStyle w:val="Hyperlink"/>
            <w:rFonts w:ascii="Open Sans Light" w:hAnsi="Open Sans Light" w:cs="Open Sans Light"/>
            <w:sz w:val="18"/>
            <w:szCs w:val="18"/>
          </w:rPr>
          <w:t>https://bigsocietycapital.fra1.cdn.digitaloceanspaces.com/media/documents/BSC_Outcomes_For_All_Report_2022.pdf</w:t>
        </w:r>
      </w:hyperlink>
      <w:r w:rsidRPr="6002C6A8">
        <w:rPr>
          <w:rFonts w:ascii="Open Sans Light" w:hAnsi="Open Sans Light" w:cs="Open Sans Light"/>
          <w:sz w:val="18"/>
          <w:szCs w:val="18"/>
        </w:rPr>
        <w:t>.</w:t>
      </w:r>
    </w:p>
    <w:p w14:paraId="2B7406BB" w14:textId="77777777" w:rsidR="001D07D5" w:rsidRDefault="001D07D5" w:rsidP="001D07D5">
      <w:pPr>
        <w:rPr>
          <w:rFonts w:ascii="Open Sans Light" w:hAnsi="Open Sans Light" w:cs="Open Sans Light"/>
          <w:sz w:val="18"/>
          <w:szCs w:val="18"/>
        </w:rPr>
      </w:pPr>
      <w:r w:rsidRPr="6002C6A8">
        <w:rPr>
          <w:rFonts w:ascii="Open Sans Light" w:hAnsi="Open Sans Light" w:cs="Open Sans Light"/>
          <w:sz w:val="18"/>
          <w:szCs w:val="18"/>
        </w:rPr>
        <w:t xml:space="preserve">Johnstone, L. (2017) A practical framework for achieving targets in payment by results provision: a case study of the national troubled </w:t>
      </w:r>
      <w:bookmarkStart w:id="98" w:name="_Int_JlXtwo6O"/>
      <w:r w:rsidRPr="6002C6A8">
        <w:rPr>
          <w:rFonts w:ascii="Open Sans Light" w:hAnsi="Open Sans Light" w:cs="Open Sans Light"/>
          <w:sz w:val="18"/>
          <w:szCs w:val="18"/>
        </w:rPr>
        <w:t>families</w:t>
      </w:r>
      <w:bookmarkEnd w:id="98"/>
      <w:r w:rsidRPr="6002C6A8">
        <w:rPr>
          <w:rFonts w:ascii="Open Sans Light" w:hAnsi="Open Sans Light" w:cs="Open Sans Light"/>
          <w:sz w:val="18"/>
          <w:szCs w:val="18"/>
        </w:rPr>
        <w:t xml:space="preserve"> initiative, </w:t>
      </w:r>
      <w:r w:rsidRPr="6002C6A8">
        <w:rPr>
          <w:rFonts w:ascii="Open Sans Light" w:hAnsi="Open Sans Light" w:cs="Open Sans Light"/>
          <w:i/>
          <w:iCs/>
          <w:sz w:val="18"/>
          <w:szCs w:val="18"/>
        </w:rPr>
        <w:t>University of Sunderland</w:t>
      </w:r>
      <w:r w:rsidRPr="6002C6A8">
        <w:rPr>
          <w:rFonts w:ascii="Open Sans Light" w:hAnsi="Open Sans Light" w:cs="Open Sans Light"/>
          <w:sz w:val="18"/>
          <w:szCs w:val="18"/>
        </w:rPr>
        <w:t xml:space="preserve">. Available at: </w:t>
      </w:r>
      <w:hyperlink r:id="rId30">
        <w:r w:rsidRPr="6002C6A8">
          <w:rPr>
            <w:rStyle w:val="Hyperlink"/>
            <w:rFonts w:ascii="Open Sans Light" w:hAnsi="Open Sans Light" w:cs="Open Sans Light"/>
            <w:sz w:val="18"/>
            <w:szCs w:val="18"/>
          </w:rPr>
          <w:t>https://sure.sunderland.ac.uk/id/eprint/8558/1/Electronic%20Version%20-%20A%20Practical%20Framework%20for%20Target%20Achievement%20in%20Payment%20by%20Results%20Provision%20-%20Dr%20Laura%20Johnstone.pdf</w:t>
        </w:r>
      </w:hyperlink>
      <w:r w:rsidRPr="6002C6A8">
        <w:rPr>
          <w:rFonts w:ascii="Open Sans Light" w:hAnsi="Open Sans Light" w:cs="Open Sans Light"/>
          <w:sz w:val="18"/>
          <w:szCs w:val="18"/>
        </w:rPr>
        <w:t xml:space="preserve">. </w:t>
      </w:r>
    </w:p>
    <w:p w14:paraId="1D32F3A0" w14:textId="77777777" w:rsidR="001D07D5" w:rsidRDefault="001D07D5" w:rsidP="001D07D5">
      <w:pPr>
        <w:rPr>
          <w:rFonts w:ascii="Open Sans Light" w:hAnsi="Open Sans Light" w:cs="Open Sans Light"/>
          <w:sz w:val="18"/>
          <w:szCs w:val="18"/>
        </w:rPr>
      </w:pPr>
      <w:r w:rsidRPr="00A65DAF">
        <w:rPr>
          <w:rFonts w:ascii="Open Sans Light" w:hAnsi="Open Sans Light" w:cs="Open Sans Light"/>
          <w:sz w:val="18"/>
          <w:szCs w:val="18"/>
        </w:rPr>
        <w:t xml:space="preserve">Local Government Association (2018) ‘Integrated commissioning for better outcome: A commissioning framework’. Available at: </w:t>
      </w:r>
      <w:hyperlink r:id="rId31" w:history="1">
        <w:r w:rsidRPr="00A65DAF">
          <w:rPr>
            <w:rStyle w:val="Hyperlink"/>
            <w:rFonts w:ascii="Open Sans Light" w:hAnsi="Open Sans Light" w:cs="Open Sans Light"/>
            <w:sz w:val="18"/>
            <w:szCs w:val="18"/>
          </w:rPr>
          <w:t>https://www.local.gov.uk/sites/default/files/documents/25.70_Integrated%20Commissioning%20for%20Better%20Outcomes_final.pdf</w:t>
        </w:r>
      </w:hyperlink>
    </w:p>
    <w:p w14:paraId="46B903BC" w14:textId="77777777" w:rsidR="001D07D5" w:rsidRDefault="001D07D5" w:rsidP="001D07D5">
      <w:pPr>
        <w:rPr>
          <w:rFonts w:ascii="Open Sans Light" w:hAnsi="Open Sans Light" w:cs="Open Sans Light"/>
          <w:sz w:val="18"/>
          <w:szCs w:val="18"/>
        </w:rPr>
      </w:pPr>
      <w:proofErr w:type="spellStart"/>
      <w:r w:rsidRPr="00A65DAF">
        <w:rPr>
          <w:rFonts w:ascii="Open Sans Light" w:hAnsi="Open Sans Light" w:cs="Open Sans Light"/>
          <w:sz w:val="18"/>
          <w:szCs w:val="18"/>
        </w:rPr>
        <w:t>Localis</w:t>
      </w:r>
      <w:proofErr w:type="spellEnd"/>
      <w:r w:rsidRPr="00A65DAF">
        <w:rPr>
          <w:rFonts w:ascii="Open Sans Light" w:hAnsi="Open Sans Light" w:cs="Open Sans Light"/>
          <w:sz w:val="18"/>
          <w:szCs w:val="18"/>
        </w:rPr>
        <w:t xml:space="preserve"> (2016) ‘Local Authority Transformational Models’. Available at: </w:t>
      </w:r>
      <w:hyperlink r:id="rId32" w:history="1">
        <w:r w:rsidRPr="00A65DAF">
          <w:rPr>
            <w:rStyle w:val="Hyperlink"/>
            <w:rFonts w:ascii="Open Sans Light" w:hAnsi="Open Sans Light" w:cs="Open Sans Light"/>
            <w:sz w:val="18"/>
            <w:szCs w:val="18"/>
          </w:rPr>
          <w:t>https://www.local.gov.uk/sites/default/files/documents/whole-council-approaches--1df.pdf</w:t>
        </w:r>
      </w:hyperlink>
      <w:r w:rsidRPr="00A65DAF">
        <w:rPr>
          <w:rFonts w:ascii="Open Sans Light" w:hAnsi="Open Sans Light" w:cs="Open Sans Light"/>
          <w:sz w:val="18"/>
          <w:szCs w:val="18"/>
        </w:rPr>
        <w:t xml:space="preserve">. </w:t>
      </w:r>
    </w:p>
    <w:p w14:paraId="42D12F7E" w14:textId="77777777" w:rsidR="001D07D5" w:rsidRDefault="001D07D5" w:rsidP="001D07D5">
      <w:pPr>
        <w:rPr>
          <w:rFonts w:ascii="Open Sans Light" w:hAnsi="Open Sans Light" w:cs="Open Sans Light"/>
          <w:sz w:val="18"/>
          <w:szCs w:val="18"/>
        </w:rPr>
      </w:pPr>
      <w:r w:rsidRPr="001A585A">
        <w:rPr>
          <w:rFonts w:ascii="Open Sans Light" w:hAnsi="Open Sans Light" w:cs="Open Sans Light"/>
          <w:sz w:val="18"/>
          <w:szCs w:val="18"/>
        </w:rPr>
        <w:t xml:space="preserve">Local Government Association (2022a) ‘National Procurement Strategy for Local Government in England 2022’. Available at: </w:t>
      </w:r>
      <w:hyperlink r:id="rId33" w:history="1">
        <w:r w:rsidRPr="001A585A">
          <w:rPr>
            <w:rStyle w:val="Hyperlink"/>
            <w:rFonts w:ascii="Open Sans Light" w:hAnsi="Open Sans Light" w:cs="Open Sans Light"/>
            <w:sz w:val="18"/>
            <w:szCs w:val="18"/>
          </w:rPr>
          <w:t>https://www.local.gov.uk/publications/national-procurement-strategy-local-government-england-2022</w:t>
        </w:r>
      </w:hyperlink>
      <w:r w:rsidRPr="001A585A">
        <w:rPr>
          <w:rFonts w:ascii="Open Sans Light" w:hAnsi="Open Sans Light" w:cs="Open Sans Light"/>
          <w:sz w:val="18"/>
          <w:szCs w:val="18"/>
        </w:rPr>
        <w:t xml:space="preserve">. </w:t>
      </w:r>
    </w:p>
    <w:p w14:paraId="6E17D9B3" w14:textId="77777777" w:rsidR="001D07D5" w:rsidRDefault="001D07D5" w:rsidP="001D07D5">
      <w:pPr>
        <w:rPr>
          <w:rFonts w:ascii="Open Sans Light" w:hAnsi="Open Sans Light" w:cs="Open Sans Light"/>
          <w:sz w:val="18"/>
          <w:szCs w:val="18"/>
        </w:rPr>
      </w:pPr>
      <w:r w:rsidRPr="002D78A3">
        <w:rPr>
          <w:rFonts w:ascii="Open Sans Light" w:hAnsi="Open Sans Light" w:cs="Open Sans Light"/>
          <w:sz w:val="18"/>
          <w:szCs w:val="18"/>
        </w:rPr>
        <w:t xml:space="preserve">Local Government Association (2022b) ‘Strategic collaborative planning and commissioning: a guide’. Available at: </w:t>
      </w:r>
      <w:hyperlink r:id="rId34" w:history="1">
        <w:r w:rsidRPr="002D78A3">
          <w:rPr>
            <w:rStyle w:val="Hyperlink"/>
            <w:rFonts w:ascii="Open Sans Light" w:hAnsi="Open Sans Light" w:cs="Open Sans Light"/>
            <w:sz w:val="18"/>
            <w:szCs w:val="18"/>
          </w:rPr>
          <w:t>https://www.local.gov.uk/sites/default/files/documents/25.212%20CCF_AA_0.pdf</w:t>
        </w:r>
      </w:hyperlink>
      <w:r w:rsidRPr="002D78A3">
        <w:rPr>
          <w:rFonts w:ascii="Open Sans Light" w:hAnsi="Open Sans Light" w:cs="Open Sans Light"/>
          <w:sz w:val="18"/>
          <w:szCs w:val="18"/>
        </w:rPr>
        <w:t xml:space="preserve">. </w:t>
      </w:r>
    </w:p>
    <w:p w14:paraId="24079B92" w14:textId="77777777" w:rsidR="001D07D5" w:rsidRDefault="001D07D5" w:rsidP="001D07D5">
      <w:pPr>
        <w:rPr>
          <w:rFonts w:ascii="Open Sans Light" w:hAnsi="Open Sans Light" w:cs="Open Sans Light"/>
          <w:sz w:val="18"/>
          <w:szCs w:val="18"/>
        </w:rPr>
      </w:pPr>
      <w:r w:rsidRPr="00A65DAF">
        <w:rPr>
          <w:rFonts w:ascii="Open Sans Light" w:hAnsi="Open Sans Light" w:cs="Open Sans Light"/>
          <w:sz w:val="18"/>
          <w:szCs w:val="18"/>
        </w:rPr>
        <w:t xml:space="preserve">Mason, P., Lloyd, R., Nash, F. (2017) ‘Qualitative Evaluation of the London Homelessness Social Impact Bond (SIB)’, </w:t>
      </w:r>
      <w:r w:rsidRPr="00A65DAF">
        <w:rPr>
          <w:rFonts w:ascii="Open Sans Light" w:hAnsi="Open Sans Light" w:cs="Open Sans Light"/>
          <w:i/>
          <w:iCs/>
          <w:sz w:val="18"/>
          <w:szCs w:val="18"/>
        </w:rPr>
        <w:t>Department for Communities and Local Government</w:t>
      </w:r>
      <w:r w:rsidRPr="00A65DAF">
        <w:rPr>
          <w:rFonts w:ascii="Open Sans Light" w:hAnsi="Open Sans Light" w:cs="Open Sans Light"/>
          <w:sz w:val="18"/>
          <w:szCs w:val="18"/>
        </w:rPr>
        <w:t xml:space="preserve">. Available at: </w:t>
      </w:r>
      <w:hyperlink r:id="rId35" w:history="1">
        <w:r w:rsidRPr="00A65DAF">
          <w:rPr>
            <w:rStyle w:val="Hyperlink"/>
            <w:rFonts w:ascii="Open Sans Light" w:hAnsi="Open Sans Light" w:cs="Open Sans Light"/>
            <w:sz w:val="18"/>
            <w:szCs w:val="18"/>
          </w:rPr>
          <w:t>https://assets.publishing.service.gov.uk/government/uploads/system/uploads/attachment_data/file/658921/Qualitative_Evaluation_of_the_London_Homelessness_SIB.pdf</w:t>
        </w:r>
      </w:hyperlink>
      <w:r w:rsidRPr="00A65DAF">
        <w:rPr>
          <w:rFonts w:ascii="Open Sans Light" w:hAnsi="Open Sans Light" w:cs="Open Sans Light"/>
          <w:sz w:val="18"/>
          <w:szCs w:val="18"/>
        </w:rPr>
        <w:t xml:space="preserve">. </w:t>
      </w:r>
    </w:p>
    <w:p w14:paraId="52E7E71C" w14:textId="77777777" w:rsidR="001D07D5" w:rsidRDefault="001D07D5" w:rsidP="001D07D5">
      <w:pPr>
        <w:rPr>
          <w:rFonts w:ascii="Open Sans Light" w:hAnsi="Open Sans Light" w:cs="Open Sans Light"/>
          <w:sz w:val="18"/>
          <w:szCs w:val="18"/>
        </w:rPr>
      </w:pPr>
      <w:r w:rsidRPr="6002C6A8">
        <w:rPr>
          <w:rFonts w:ascii="Open Sans Light" w:hAnsi="Open Sans Light" w:cs="Open Sans Light"/>
          <w:sz w:val="18"/>
          <w:szCs w:val="18"/>
        </w:rPr>
        <w:lastRenderedPageBreak/>
        <w:t xml:space="preserve">McGee, C.E., Barlow-Pay, M., Vassilev, I., Baird, J., Fenge, </w:t>
      </w:r>
      <w:bookmarkStart w:id="99" w:name="_Int_uFl1VLfx"/>
      <w:r w:rsidRPr="6002C6A8">
        <w:rPr>
          <w:rFonts w:ascii="Open Sans Light" w:hAnsi="Open Sans Light" w:cs="Open Sans Light"/>
          <w:sz w:val="18"/>
          <w:szCs w:val="18"/>
        </w:rPr>
        <w:t>L.A</w:t>
      </w:r>
      <w:bookmarkEnd w:id="99"/>
      <w:r w:rsidRPr="6002C6A8">
        <w:rPr>
          <w:rFonts w:ascii="Open Sans Light" w:hAnsi="Open Sans Light" w:cs="Open Sans Light"/>
          <w:sz w:val="18"/>
          <w:szCs w:val="18"/>
        </w:rPr>
        <w:t xml:space="preserve">., Chase, D., and Parkes, J., (2022) ‘Supporting and enabling health research in a local authority (SERLA): an exploratory study’, </w:t>
      </w:r>
      <w:r w:rsidRPr="6002C6A8">
        <w:rPr>
          <w:rFonts w:ascii="Open Sans Light" w:hAnsi="Open Sans Light" w:cs="Open Sans Light"/>
          <w:i/>
          <w:iCs/>
          <w:sz w:val="18"/>
          <w:szCs w:val="18"/>
        </w:rPr>
        <w:t>BMC Public Health</w:t>
      </w:r>
      <w:r w:rsidRPr="6002C6A8">
        <w:rPr>
          <w:rFonts w:ascii="Open Sans Light" w:hAnsi="Open Sans Light" w:cs="Open Sans Light"/>
          <w:sz w:val="18"/>
          <w:szCs w:val="18"/>
        </w:rPr>
        <w:t xml:space="preserve">, 22(1316). </w:t>
      </w:r>
    </w:p>
    <w:p w14:paraId="259A0A6B" w14:textId="77777777" w:rsidR="001D07D5" w:rsidRDefault="001D07D5" w:rsidP="001D07D5">
      <w:pPr>
        <w:rPr>
          <w:rFonts w:ascii="Open Sans Light" w:hAnsi="Open Sans Light" w:cs="Open Sans Light"/>
          <w:sz w:val="18"/>
          <w:szCs w:val="18"/>
        </w:rPr>
      </w:pPr>
      <w:r w:rsidRPr="00B05530">
        <w:rPr>
          <w:rFonts w:ascii="Open Sans Light" w:hAnsi="Open Sans Light" w:cs="Open Sans Light"/>
          <w:sz w:val="18"/>
          <w:szCs w:val="18"/>
        </w:rPr>
        <w:t xml:space="preserve">NLCF and </w:t>
      </w:r>
      <w:r w:rsidRPr="002D78A3">
        <w:rPr>
          <w:rFonts w:ascii="Open Sans Light" w:hAnsi="Open Sans Light" w:cs="Open Sans Light"/>
          <w:sz w:val="18"/>
          <w:szCs w:val="18"/>
        </w:rPr>
        <w:t xml:space="preserve">National Children's Bureau (2022) ‘Developing &amp; sustaining local health &amp; education partnership working: learning from HeadStart’. Available at: </w:t>
      </w:r>
      <w:hyperlink r:id="rId36" w:history="1">
        <w:r w:rsidRPr="002D78A3">
          <w:rPr>
            <w:rStyle w:val="Hyperlink"/>
            <w:rFonts w:ascii="Open Sans Light" w:hAnsi="Open Sans Light" w:cs="Open Sans Light"/>
            <w:sz w:val="18"/>
            <w:szCs w:val="18"/>
          </w:rPr>
          <w:t>https://www.tnlcommunityfund.org.uk/media/insights/documents/Headstart-report-Partnership-working.pdf?mtime=20220322125344&amp;focal=none</w:t>
        </w:r>
      </w:hyperlink>
      <w:r w:rsidRPr="002D78A3">
        <w:rPr>
          <w:rFonts w:ascii="Open Sans Light" w:hAnsi="Open Sans Light" w:cs="Open Sans Light"/>
          <w:sz w:val="18"/>
          <w:szCs w:val="18"/>
        </w:rPr>
        <w:t xml:space="preserve">. </w:t>
      </w:r>
    </w:p>
    <w:p w14:paraId="218E7E45" w14:textId="77777777" w:rsidR="001D07D5" w:rsidRDefault="001D07D5" w:rsidP="001D07D5">
      <w:pPr>
        <w:rPr>
          <w:rFonts w:ascii="Open Sans Light" w:hAnsi="Open Sans Light" w:cs="Open Sans Light"/>
          <w:sz w:val="18"/>
          <w:szCs w:val="18"/>
        </w:rPr>
      </w:pPr>
      <w:r w:rsidRPr="00A65DAF">
        <w:rPr>
          <w:rFonts w:ascii="Open Sans Light" w:hAnsi="Open Sans Light" w:cs="Open Sans Light"/>
          <w:sz w:val="18"/>
          <w:szCs w:val="18"/>
        </w:rPr>
        <w:t xml:space="preserve">Robertson, R. and Ewbank, L. (2020) ‘Thinking differently about commissioning: Learning from new approaches to local planning’, </w:t>
      </w:r>
      <w:r w:rsidRPr="00A65DAF">
        <w:rPr>
          <w:rFonts w:ascii="Open Sans Light" w:hAnsi="Open Sans Light" w:cs="Open Sans Light"/>
          <w:i/>
          <w:iCs/>
          <w:sz w:val="18"/>
          <w:szCs w:val="18"/>
        </w:rPr>
        <w:t>The Kings’ Fund</w:t>
      </w:r>
      <w:r w:rsidRPr="00A65DAF">
        <w:rPr>
          <w:rFonts w:ascii="Open Sans Light" w:hAnsi="Open Sans Light" w:cs="Open Sans Light"/>
          <w:sz w:val="18"/>
          <w:szCs w:val="18"/>
        </w:rPr>
        <w:t xml:space="preserve">. Available at: </w:t>
      </w:r>
      <w:hyperlink r:id="rId37" w:history="1">
        <w:r w:rsidRPr="00A65DAF">
          <w:rPr>
            <w:rStyle w:val="Hyperlink"/>
            <w:rFonts w:ascii="Open Sans Light" w:hAnsi="Open Sans Light" w:cs="Open Sans Light"/>
            <w:sz w:val="18"/>
            <w:szCs w:val="18"/>
          </w:rPr>
          <w:t>https://www.kingsfund.org.uk/sites/default/files/2020-02/TBAC%20report%20%28web%29.pdf</w:t>
        </w:r>
      </w:hyperlink>
      <w:r w:rsidRPr="00A65DAF">
        <w:rPr>
          <w:rFonts w:ascii="Open Sans Light" w:hAnsi="Open Sans Light" w:cs="Open Sans Light"/>
          <w:sz w:val="18"/>
          <w:szCs w:val="18"/>
        </w:rPr>
        <w:t xml:space="preserve">. </w:t>
      </w:r>
    </w:p>
    <w:p w14:paraId="728ED6E9" w14:textId="77777777" w:rsidR="001D07D5" w:rsidRDefault="001D07D5" w:rsidP="001D07D5">
      <w:pPr>
        <w:rPr>
          <w:rFonts w:ascii="Open Sans Light" w:hAnsi="Open Sans Light" w:cs="Open Sans Light"/>
          <w:sz w:val="18"/>
          <w:szCs w:val="18"/>
        </w:rPr>
      </w:pPr>
      <w:r w:rsidRPr="003A6861">
        <w:rPr>
          <w:rFonts w:ascii="Open Sans Light" w:hAnsi="Open Sans Light" w:cs="Open Sans Light"/>
          <w:sz w:val="18"/>
          <w:szCs w:val="18"/>
        </w:rPr>
        <w:t xml:space="preserve">Robertson, R., Baylis, A., Buck, D., Fenney, D., Ross, S. (2021) Improving drug treatment services in England: Models for commissioning and accountability, </w:t>
      </w:r>
      <w:r w:rsidRPr="003A6861">
        <w:rPr>
          <w:rFonts w:ascii="Open Sans Light" w:hAnsi="Open Sans Light" w:cs="Open Sans Light"/>
          <w:i/>
          <w:iCs/>
          <w:sz w:val="18"/>
          <w:szCs w:val="18"/>
        </w:rPr>
        <w:t>The Kings Fund.</w:t>
      </w:r>
      <w:r w:rsidRPr="003A6861">
        <w:rPr>
          <w:rFonts w:ascii="Open Sans Light" w:hAnsi="Open Sans Light" w:cs="Open Sans Light"/>
          <w:sz w:val="18"/>
          <w:szCs w:val="18"/>
        </w:rPr>
        <w:t xml:space="preserve"> Available at: </w:t>
      </w:r>
      <w:hyperlink r:id="rId38" w:history="1">
        <w:r w:rsidRPr="003A6861">
          <w:rPr>
            <w:rStyle w:val="Hyperlink"/>
            <w:rFonts w:ascii="Open Sans Light" w:hAnsi="Open Sans Light" w:cs="Open Sans Light"/>
            <w:sz w:val="18"/>
            <w:szCs w:val="18"/>
          </w:rPr>
          <w:t>https://www.drugsandalcohol.ie/34553/1/Kings_Fund_report_on_drugs_commissioning_and_accountability-2021.pdf/</w:t>
        </w:r>
      </w:hyperlink>
      <w:r w:rsidRPr="003A6861">
        <w:rPr>
          <w:rFonts w:ascii="Open Sans Light" w:hAnsi="Open Sans Light" w:cs="Open Sans Light"/>
          <w:sz w:val="18"/>
          <w:szCs w:val="18"/>
        </w:rPr>
        <w:t xml:space="preserve"> </w:t>
      </w:r>
    </w:p>
    <w:p w14:paraId="6CD78B2C" w14:textId="77777777" w:rsidR="001D07D5" w:rsidRDefault="001D07D5" w:rsidP="001D07D5">
      <w:pPr>
        <w:rPr>
          <w:rFonts w:ascii="Open Sans Light" w:hAnsi="Open Sans Light" w:cs="Open Sans Light"/>
          <w:sz w:val="18"/>
          <w:szCs w:val="18"/>
        </w:rPr>
      </w:pPr>
      <w:r w:rsidRPr="003A6861">
        <w:rPr>
          <w:rFonts w:ascii="Open Sans Light" w:hAnsi="Open Sans Light" w:cs="Open Sans Light"/>
          <w:sz w:val="18"/>
          <w:szCs w:val="18"/>
        </w:rPr>
        <w:t>Ronicle, J., Stanworth, N., Hickman, E. (2019) Commissioning Better Outcomes Fund Evaluation 2</w:t>
      </w:r>
      <w:r w:rsidRPr="003A6861">
        <w:rPr>
          <w:rFonts w:ascii="Open Sans Light" w:hAnsi="Open Sans Light" w:cs="Open Sans Light"/>
          <w:sz w:val="18"/>
          <w:szCs w:val="18"/>
          <w:vertAlign w:val="superscript"/>
        </w:rPr>
        <w:t>nd</w:t>
      </w:r>
      <w:r w:rsidRPr="003A6861">
        <w:rPr>
          <w:rFonts w:ascii="Open Sans Light" w:hAnsi="Open Sans Light" w:cs="Open Sans Light"/>
          <w:sz w:val="18"/>
          <w:szCs w:val="18"/>
        </w:rPr>
        <w:t xml:space="preserve"> Update Report, </w:t>
      </w:r>
      <w:r w:rsidRPr="003A6861">
        <w:rPr>
          <w:rFonts w:ascii="Open Sans Light" w:hAnsi="Open Sans Light" w:cs="Open Sans Light"/>
          <w:i/>
          <w:iCs/>
          <w:sz w:val="18"/>
          <w:szCs w:val="18"/>
        </w:rPr>
        <w:t>National Lottery Community Fund, Ecorys and ATQ Consultants</w:t>
      </w:r>
      <w:r w:rsidRPr="003A6861">
        <w:rPr>
          <w:rFonts w:ascii="Open Sans Light" w:hAnsi="Open Sans Light" w:cs="Open Sans Light"/>
          <w:sz w:val="18"/>
          <w:szCs w:val="18"/>
        </w:rPr>
        <w:t xml:space="preserve">. Available at: </w:t>
      </w:r>
      <w:hyperlink r:id="rId39" w:history="1">
        <w:r w:rsidRPr="003A6861">
          <w:rPr>
            <w:rStyle w:val="Hyperlink"/>
            <w:rFonts w:ascii="Open Sans Light" w:hAnsi="Open Sans Light" w:cs="Open Sans Light"/>
            <w:sz w:val="18"/>
            <w:szCs w:val="18"/>
          </w:rPr>
          <w:t>https://www.tnlcommunityfund.org.uk/media/insights/documents/CBO-2nd-Update-Report_FINAL_FINAL.pdf?mtime=20200117163615&amp;focal=none</w:t>
        </w:r>
      </w:hyperlink>
      <w:r w:rsidRPr="003A6861">
        <w:rPr>
          <w:rFonts w:ascii="Open Sans Light" w:hAnsi="Open Sans Light" w:cs="Open Sans Light"/>
          <w:sz w:val="18"/>
          <w:szCs w:val="18"/>
        </w:rPr>
        <w:t xml:space="preserve">. </w:t>
      </w:r>
    </w:p>
    <w:p w14:paraId="240311CB" w14:textId="77777777" w:rsidR="001D07D5" w:rsidRDefault="001D07D5" w:rsidP="001D07D5">
      <w:pPr>
        <w:rPr>
          <w:rFonts w:ascii="Open Sans Light" w:hAnsi="Open Sans Light" w:cs="Open Sans Light"/>
          <w:sz w:val="18"/>
          <w:szCs w:val="18"/>
        </w:rPr>
      </w:pPr>
      <w:r w:rsidRPr="00A65DAF">
        <w:rPr>
          <w:rFonts w:ascii="Open Sans Light" w:hAnsi="Open Sans Light" w:cs="Open Sans Light"/>
          <w:sz w:val="18"/>
          <w:szCs w:val="18"/>
        </w:rPr>
        <w:t>Ronicle, J., Stanworth, N., and Wooldridge, R. (2022) Commissioning Better Outcomes Evaluation 3</w:t>
      </w:r>
      <w:r w:rsidRPr="00A65DAF">
        <w:rPr>
          <w:rFonts w:ascii="Open Sans Light" w:hAnsi="Open Sans Light" w:cs="Open Sans Light"/>
          <w:sz w:val="18"/>
          <w:szCs w:val="18"/>
          <w:vertAlign w:val="superscript"/>
        </w:rPr>
        <w:t>rd</w:t>
      </w:r>
      <w:r w:rsidRPr="00A65DAF">
        <w:rPr>
          <w:rFonts w:ascii="Open Sans Light" w:hAnsi="Open Sans Light" w:cs="Open Sans Light"/>
          <w:sz w:val="18"/>
          <w:szCs w:val="18"/>
        </w:rPr>
        <w:t xml:space="preserve"> Update Report, </w:t>
      </w:r>
      <w:r w:rsidRPr="00A65DAF">
        <w:rPr>
          <w:rFonts w:ascii="Open Sans Light" w:hAnsi="Open Sans Light" w:cs="Open Sans Light"/>
          <w:i/>
          <w:iCs/>
          <w:sz w:val="18"/>
          <w:szCs w:val="18"/>
        </w:rPr>
        <w:t>Ecorys &amp; ATQ Consultants</w:t>
      </w:r>
      <w:r w:rsidRPr="00A65DAF">
        <w:rPr>
          <w:rFonts w:ascii="Open Sans Light" w:hAnsi="Open Sans Light" w:cs="Open Sans Light"/>
          <w:sz w:val="18"/>
          <w:szCs w:val="18"/>
        </w:rPr>
        <w:t xml:space="preserve">. Available at: </w:t>
      </w:r>
      <w:hyperlink r:id="rId40" w:history="1">
        <w:r w:rsidRPr="00A65DAF">
          <w:rPr>
            <w:rStyle w:val="Hyperlink"/>
            <w:rFonts w:ascii="Open Sans Light" w:hAnsi="Open Sans Light" w:cs="Open Sans Light"/>
            <w:sz w:val="18"/>
            <w:szCs w:val="18"/>
          </w:rPr>
          <w:t>https://golab.bsg.ox.ac.uk/knowledge-bank/resources/commissioning-better-outcomes-evaluation-3rd-update-report/</w:t>
        </w:r>
      </w:hyperlink>
      <w:r w:rsidRPr="00A65DAF">
        <w:rPr>
          <w:rFonts w:ascii="Open Sans Light" w:hAnsi="Open Sans Light" w:cs="Open Sans Light"/>
          <w:sz w:val="18"/>
          <w:szCs w:val="18"/>
        </w:rPr>
        <w:t xml:space="preserve">. </w:t>
      </w:r>
    </w:p>
    <w:p w14:paraId="24CE677F" w14:textId="77777777" w:rsidR="001D07D5" w:rsidRDefault="001D07D5" w:rsidP="001D07D5">
      <w:pPr>
        <w:rPr>
          <w:rFonts w:ascii="Open Sans Light" w:hAnsi="Open Sans Light" w:cs="Open Sans Light"/>
          <w:sz w:val="18"/>
          <w:szCs w:val="18"/>
        </w:rPr>
      </w:pPr>
      <w:r w:rsidRPr="003A6861">
        <w:rPr>
          <w:rFonts w:ascii="Open Sans Light" w:hAnsi="Open Sans Light" w:cs="Open Sans Light"/>
          <w:sz w:val="18"/>
          <w:szCs w:val="18"/>
        </w:rPr>
        <w:t xml:space="preserve">Rosenbach, F. and Carter, E. (2020) Kirklees Integrated Support Service and Better Outcomes Partnership: The first report from a longitudinal evaluation of a Life Chances Fund impact bond, </w:t>
      </w:r>
      <w:r w:rsidRPr="003A6861">
        <w:rPr>
          <w:rFonts w:ascii="Open Sans Light" w:hAnsi="Open Sans Light" w:cs="Open Sans Light"/>
          <w:i/>
          <w:iCs/>
          <w:sz w:val="18"/>
          <w:szCs w:val="18"/>
        </w:rPr>
        <w:t>Government Outcomes Lab (GO Lab)</w:t>
      </w:r>
      <w:r w:rsidRPr="003A6861">
        <w:rPr>
          <w:rFonts w:ascii="Open Sans Light" w:hAnsi="Open Sans Light" w:cs="Open Sans Light"/>
          <w:sz w:val="18"/>
          <w:szCs w:val="18"/>
        </w:rPr>
        <w:t xml:space="preserve">. Available at: </w:t>
      </w:r>
      <w:hyperlink r:id="rId41" w:history="1">
        <w:r w:rsidRPr="003A6861">
          <w:rPr>
            <w:rStyle w:val="Hyperlink"/>
            <w:rFonts w:ascii="Open Sans Light" w:hAnsi="Open Sans Light" w:cs="Open Sans Light"/>
            <w:sz w:val="18"/>
            <w:szCs w:val="18"/>
          </w:rPr>
          <w:t>https://golab.bsg.ox.ac.uk/knowledge-bank/resources/kirklees-integrated-support-service-and-better-outcomes-partnership-the-first-report-from-a-longitudinal-evaluation-of-a-life-chances-fund-impact-bond/</w:t>
        </w:r>
      </w:hyperlink>
      <w:r w:rsidRPr="003A6861">
        <w:rPr>
          <w:rFonts w:ascii="Open Sans Light" w:hAnsi="Open Sans Light" w:cs="Open Sans Light"/>
          <w:sz w:val="18"/>
          <w:szCs w:val="18"/>
        </w:rPr>
        <w:t xml:space="preserve">. </w:t>
      </w:r>
    </w:p>
    <w:p w14:paraId="1D65494F" w14:textId="77777777" w:rsidR="001D07D5" w:rsidRDefault="001D07D5" w:rsidP="001D07D5">
      <w:pPr>
        <w:rPr>
          <w:rFonts w:ascii="Open Sans Light" w:hAnsi="Open Sans Light" w:cs="Open Sans Light"/>
          <w:sz w:val="18"/>
          <w:szCs w:val="18"/>
        </w:rPr>
      </w:pPr>
      <w:r w:rsidRPr="00350BB7">
        <w:rPr>
          <w:rFonts w:ascii="Open Sans Light" w:hAnsi="Open Sans Light" w:cs="Open Sans Light"/>
          <w:sz w:val="18"/>
          <w:szCs w:val="18"/>
        </w:rPr>
        <w:t xml:space="preserve">Sanderson, M., Allen, P., </w:t>
      </w:r>
      <w:proofErr w:type="spellStart"/>
      <w:r w:rsidRPr="00350BB7">
        <w:rPr>
          <w:rFonts w:ascii="Open Sans Light" w:hAnsi="Open Sans Light" w:cs="Open Sans Light"/>
          <w:sz w:val="18"/>
          <w:szCs w:val="18"/>
        </w:rPr>
        <w:t>Osipovic</w:t>
      </w:r>
      <w:proofErr w:type="spellEnd"/>
      <w:r w:rsidRPr="00350BB7">
        <w:rPr>
          <w:rFonts w:ascii="Open Sans Light" w:hAnsi="Open Sans Light" w:cs="Open Sans Light"/>
          <w:sz w:val="18"/>
          <w:szCs w:val="18"/>
        </w:rPr>
        <w:t xml:space="preserve">, D., Moran, V. (2019) New Models of Contracting in the NHS, </w:t>
      </w:r>
      <w:proofErr w:type="spellStart"/>
      <w:r w:rsidRPr="00350BB7">
        <w:rPr>
          <w:rFonts w:ascii="Open Sans Light" w:hAnsi="Open Sans Light" w:cs="Open Sans Light"/>
          <w:i/>
          <w:iCs/>
          <w:sz w:val="18"/>
          <w:szCs w:val="18"/>
        </w:rPr>
        <w:t>PRUComm</w:t>
      </w:r>
      <w:proofErr w:type="spellEnd"/>
      <w:r w:rsidRPr="00350BB7">
        <w:rPr>
          <w:rFonts w:ascii="Open Sans Light" w:hAnsi="Open Sans Light" w:cs="Open Sans Light"/>
          <w:sz w:val="18"/>
          <w:szCs w:val="18"/>
        </w:rPr>
        <w:t xml:space="preserve">. Available at: </w:t>
      </w:r>
      <w:hyperlink r:id="rId42" w:history="1">
        <w:r w:rsidRPr="00350BB7">
          <w:rPr>
            <w:rStyle w:val="Hyperlink"/>
            <w:rFonts w:ascii="Open Sans Light" w:hAnsi="Open Sans Light" w:cs="Open Sans Light"/>
            <w:sz w:val="18"/>
            <w:szCs w:val="18"/>
          </w:rPr>
          <w:t>https://prucomm.ac.uk/assets/uploads/New_Models_of_Contracting_final_report__1_.pdf</w:t>
        </w:r>
      </w:hyperlink>
      <w:r w:rsidRPr="00350BB7">
        <w:rPr>
          <w:rFonts w:ascii="Open Sans Light" w:hAnsi="Open Sans Light" w:cs="Open Sans Light"/>
          <w:sz w:val="18"/>
          <w:szCs w:val="18"/>
        </w:rPr>
        <w:t xml:space="preserve">. </w:t>
      </w:r>
    </w:p>
    <w:p w14:paraId="51BA0AD4" w14:textId="77777777" w:rsidR="001D07D5" w:rsidRDefault="001D07D5" w:rsidP="001D07D5">
      <w:pPr>
        <w:rPr>
          <w:rFonts w:ascii="Open Sans Light" w:hAnsi="Open Sans Light" w:cs="Open Sans Light"/>
          <w:sz w:val="18"/>
          <w:szCs w:val="18"/>
        </w:rPr>
      </w:pPr>
      <w:r w:rsidRPr="00A65DAF">
        <w:rPr>
          <w:rFonts w:ascii="Open Sans Light" w:hAnsi="Open Sans Light" w:cs="Open Sans Light"/>
          <w:sz w:val="18"/>
          <w:szCs w:val="18"/>
        </w:rPr>
        <w:t xml:space="preserve">Samuel, M. (2021) ‘Fragile funding landscape: the extent of local authority commissioning in the domestic abuse refuge sector in England 2020’, </w:t>
      </w:r>
      <w:r w:rsidRPr="00A65DAF">
        <w:rPr>
          <w:rFonts w:ascii="Open Sans Light" w:hAnsi="Open Sans Light" w:cs="Open Sans Light"/>
          <w:i/>
          <w:iCs/>
          <w:sz w:val="18"/>
          <w:szCs w:val="18"/>
        </w:rPr>
        <w:t>Women’s Aid</w:t>
      </w:r>
      <w:r w:rsidRPr="00A65DAF">
        <w:rPr>
          <w:rFonts w:ascii="Open Sans Light" w:hAnsi="Open Sans Light" w:cs="Open Sans Light"/>
          <w:sz w:val="18"/>
          <w:szCs w:val="18"/>
        </w:rPr>
        <w:t xml:space="preserve">. Available at: </w:t>
      </w:r>
      <w:hyperlink r:id="rId43" w:history="1">
        <w:r w:rsidRPr="00A65DAF">
          <w:rPr>
            <w:rStyle w:val="Hyperlink"/>
            <w:rFonts w:ascii="Open Sans Light" w:hAnsi="Open Sans Light" w:cs="Open Sans Light"/>
            <w:sz w:val="18"/>
            <w:szCs w:val="18"/>
          </w:rPr>
          <w:t>https://www.womensaid.org.uk/wp-content/uploads/2021/02/Fragile-funding-landscape-the-extent-of-local-authority-commissioning-in-the-domestic-abuse-refuge-sector-in-England-2020.pdf</w:t>
        </w:r>
      </w:hyperlink>
      <w:r w:rsidRPr="00A65DAF">
        <w:rPr>
          <w:rFonts w:ascii="Open Sans Light" w:hAnsi="Open Sans Light" w:cs="Open Sans Light"/>
          <w:sz w:val="18"/>
          <w:szCs w:val="18"/>
        </w:rPr>
        <w:t xml:space="preserve">. </w:t>
      </w:r>
    </w:p>
    <w:p w14:paraId="693E4A85" w14:textId="77777777" w:rsidR="001D07D5" w:rsidRDefault="001D07D5" w:rsidP="001D07D5">
      <w:pPr>
        <w:rPr>
          <w:rFonts w:ascii="Open Sans Light" w:hAnsi="Open Sans Light" w:cs="Open Sans Light"/>
          <w:sz w:val="18"/>
          <w:szCs w:val="18"/>
        </w:rPr>
      </w:pPr>
      <w:r w:rsidRPr="003A6861">
        <w:rPr>
          <w:rFonts w:ascii="Open Sans Light" w:hAnsi="Open Sans Light" w:cs="Open Sans Light"/>
          <w:sz w:val="18"/>
          <w:szCs w:val="18"/>
        </w:rPr>
        <w:t xml:space="preserve">Stanworth. N. (2018) HCT Independent Travel Training Social Impact Bond, </w:t>
      </w:r>
      <w:r w:rsidRPr="003A6861">
        <w:rPr>
          <w:rFonts w:ascii="Open Sans Light" w:hAnsi="Open Sans Light" w:cs="Open Sans Light"/>
          <w:i/>
          <w:iCs/>
          <w:sz w:val="18"/>
          <w:szCs w:val="18"/>
        </w:rPr>
        <w:t>Ecorys and ATQ Consultants</w:t>
      </w:r>
      <w:r w:rsidRPr="003A6861">
        <w:rPr>
          <w:rFonts w:ascii="Open Sans Light" w:hAnsi="Open Sans Light" w:cs="Open Sans Light"/>
          <w:sz w:val="18"/>
          <w:szCs w:val="18"/>
        </w:rPr>
        <w:t xml:space="preserve">. Available at: </w:t>
      </w:r>
      <w:hyperlink r:id="rId44" w:history="1">
        <w:r w:rsidRPr="003A6861">
          <w:rPr>
            <w:rStyle w:val="Hyperlink"/>
            <w:rFonts w:ascii="Open Sans Light" w:hAnsi="Open Sans Light" w:cs="Open Sans Light"/>
            <w:sz w:val="18"/>
            <w:szCs w:val="18"/>
          </w:rPr>
          <w:t>https://www.tnlcommunityfund.org.uk/media/insights/documents/CBO_Indepth_Reviews_HCT_Visit_1_FINAL1.pdf?mtime=20191104163945&amp;focal=none</w:t>
        </w:r>
      </w:hyperlink>
      <w:r w:rsidRPr="003A6861">
        <w:rPr>
          <w:rFonts w:ascii="Open Sans Light" w:hAnsi="Open Sans Light" w:cs="Open Sans Light"/>
          <w:sz w:val="18"/>
          <w:szCs w:val="18"/>
        </w:rPr>
        <w:t xml:space="preserve">. </w:t>
      </w:r>
    </w:p>
    <w:p w14:paraId="15BDB28D" w14:textId="77777777" w:rsidR="001D07D5" w:rsidRDefault="001D07D5" w:rsidP="001D07D5">
      <w:pPr>
        <w:rPr>
          <w:rFonts w:ascii="Open Sans Light" w:hAnsi="Open Sans Light" w:cs="Open Sans Light"/>
          <w:sz w:val="18"/>
          <w:szCs w:val="18"/>
        </w:rPr>
      </w:pPr>
      <w:r w:rsidRPr="00350BB7">
        <w:rPr>
          <w:rFonts w:ascii="Open Sans Light" w:hAnsi="Open Sans Light" w:cs="Open Sans Light"/>
          <w:sz w:val="18"/>
          <w:szCs w:val="18"/>
        </w:rPr>
        <w:t xml:space="preserve">Tan, S (2019) Doing everything they can or everything that pays: the impact of financial incentives on two non-profit organisations, PhD thesis, </w:t>
      </w:r>
      <w:r w:rsidRPr="00350BB7">
        <w:rPr>
          <w:rFonts w:ascii="Open Sans Light" w:hAnsi="Open Sans Light" w:cs="Open Sans Light"/>
          <w:i/>
          <w:iCs/>
          <w:sz w:val="18"/>
          <w:szCs w:val="18"/>
        </w:rPr>
        <w:t>London School of Hygiene &amp; Tropical Medicine</w:t>
      </w:r>
      <w:r w:rsidRPr="00350BB7">
        <w:rPr>
          <w:rFonts w:ascii="Open Sans Light" w:hAnsi="Open Sans Light" w:cs="Open Sans Light"/>
          <w:sz w:val="18"/>
          <w:szCs w:val="18"/>
        </w:rPr>
        <w:t xml:space="preserve">. Available at: </w:t>
      </w:r>
      <w:hyperlink r:id="rId45" w:history="1">
        <w:r w:rsidRPr="00350BB7">
          <w:rPr>
            <w:rStyle w:val="Hyperlink"/>
            <w:rFonts w:ascii="Open Sans Light" w:hAnsi="Open Sans Light" w:cs="Open Sans Light"/>
            <w:sz w:val="18"/>
            <w:szCs w:val="18"/>
          </w:rPr>
          <w:t>https://researchonline.lshtm.ac.uk/id/eprint/4652265/1/2019_PHP_PhD_Tan_SMS.pdf</w:t>
        </w:r>
      </w:hyperlink>
      <w:r w:rsidRPr="00350BB7">
        <w:rPr>
          <w:rFonts w:ascii="Open Sans Light" w:hAnsi="Open Sans Light" w:cs="Open Sans Light"/>
          <w:sz w:val="18"/>
          <w:szCs w:val="18"/>
        </w:rPr>
        <w:t xml:space="preserve">. </w:t>
      </w:r>
    </w:p>
    <w:p w14:paraId="297783B8" w14:textId="77777777" w:rsidR="001D07D5" w:rsidRDefault="001D07D5" w:rsidP="001D07D5">
      <w:pPr>
        <w:rPr>
          <w:rFonts w:ascii="Open Sans Light" w:hAnsi="Open Sans Light" w:cs="Open Sans Light"/>
          <w:sz w:val="18"/>
          <w:szCs w:val="18"/>
        </w:rPr>
      </w:pPr>
      <w:r w:rsidRPr="00A65DAF">
        <w:rPr>
          <w:rFonts w:ascii="Open Sans Light" w:hAnsi="Open Sans Light" w:cs="Open Sans Light"/>
          <w:sz w:val="18"/>
          <w:szCs w:val="18"/>
        </w:rPr>
        <w:t xml:space="preserve">Thomson, W. and Smith, J. (2019) ‘Scoping a new approach to social value through social investment’, </w:t>
      </w:r>
      <w:r w:rsidRPr="00A65DAF">
        <w:rPr>
          <w:rFonts w:ascii="Open Sans Light" w:hAnsi="Open Sans Light" w:cs="Open Sans Light"/>
          <w:i/>
          <w:iCs/>
          <w:sz w:val="18"/>
          <w:szCs w:val="18"/>
        </w:rPr>
        <w:t>Social Investment Business</w:t>
      </w:r>
      <w:r w:rsidRPr="00A65DAF">
        <w:rPr>
          <w:rFonts w:ascii="Open Sans Light" w:hAnsi="Open Sans Light" w:cs="Open Sans Light"/>
          <w:sz w:val="18"/>
          <w:szCs w:val="18"/>
        </w:rPr>
        <w:t xml:space="preserve">. Available at: </w:t>
      </w:r>
      <w:hyperlink r:id="rId46" w:history="1">
        <w:r w:rsidRPr="00A65DAF">
          <w:rPr>
            <w:rStyle w:val="Hyperlink"/>
            <w:rFonts w:ascii="Open Sans Light" w:hAnsi="Open Sans Light" w:cs="Open Sans Light"/>
            <w:sz w:val="18"/>
            <w:szCs w:val="18"/>
          </w:rPr>
          <w:t>https://www.sibgroup.org.uk/wp-content/uploads/2022/06/Futurebuilders-Scoping-a-new-approach-to-social-value-through-social-investment-Final-Clean.pdf</w:t>
        </w:r>
      </w:hyperlink>
      <w:r w:rsidRPr="00A65DAF">
        <w:rPr>
          <w:rFonts w:ascii="Open Sans Light" w:hAnsi="Open Sans Light" w:cs="Open Sans Light"/>
          <w:sz w:val="18"/>
          <w:szCs w:val="18"/>
        </w:rPr>
        <w:t xml:space="preserve">. </w:t>
      </w:r>
    </w:p>
    <w:p w14:paraId="69050208" w14:textId="77777777" w:rsidR="001D07D5" w:rsidRDefault="001D07D5" w:rsidP="001D07D5">
      <w:pPr>
        <w:rPr>
          <w:rFonts w:ascii="Open Sans Light" w:hAnsi="Open Sans Light" w:cs="Open Sans Light"/>
          <w:sz w:val="18"/>
          <w:szCs w:val="18"/>
        </w:rPr>
      </w:pPr>
      <w:r w:rsidRPr="00A65DAF">
        <w:rPr>
          <w:rFonts w:ascii="Open Sans Light" w:hAnsi="Open Sans Light" w:cs="Open Sans Light"/>
          <w:sz w:val="18"/>
          <w:szCs w:val="18"/>
        </w:rPr>
        <w:t xml:space="preserve">Walker, A., Sillett, J., Hussain, F. (2022) ‘Local Health Systems: Relationships not structures’, </w:t>
      </w:r>
      <w:r w:rsidRPr="00A65DAF">
        <w:rPr>
          <w:rFonts w:ascii="Open Sans Light" w:hAnsi="Open Sans Light" w:cs="Open Sans Light"/>
          <w:i/>
          <w:iCs/>
          <w:sz w:val="18"/>
          <w:szCs w:val="18"/>
        </w:rPr>
        <w:t>LGIU</w:t>
      </w:r>
      <w:r w:rsidRPr="00A65DAF">
        <w:rPr>
          <w:rFonts w:ascii="Open Sans Light" w:hAnsi="Open Sans Light" w:cs="Open Sans Light"/>
          <w:sz w:val="18"/>
          <w:szCs w:val="18"/>
        </w:rPr>
        <w:t xml:space="preserve">. Available at: </w:t>
      </w:r>
      <w:hyperlink r:id="rId47" w:history="1">
        <w:r w:rsidRPr="00A65DAF">
          <w:rPr>
            <w:rStyle w:val="Hyperlink"/>
            <w:rFonts w:ascii="Open Sans Light" w:hAnsi="Open Sans Light" w:cs="Open Sans Light"/>
            <w:sz w:val="18"/>
            <w:szCs w:val="18"/>
          </w:rPr>
          <w:t>https://lgiu.org/wp-content/uploads/2022/04/LGIU-Local-Health-Systems-website.pdf</w:t>
        </w:r>
      </w:hyperlink>
      <w:r w:rsidRPr="00A65DAF">
        <w:rPr>
          <w:rFonts w:ascii="Open Sans Light" w:hAnsi="Open Sans Light" w:cs="Open Sans Light"/>
          <w:sz w:val="18"/>
          <w:szCs w:val="18"/>
        </w:rPr>
        <w:t xml:space="preserve">. </w:t>
      </w:r>
    </w:p>
    <w:p w14:paraId="002BE518" w14:textId="77777777" w:rsidR="001D07D5" w:rsidRDefault="001D07D5" w:rsidP="001D07D5">
      <w:pPr>
        <w:rPr>
          <w:rFonts w:ascii="Open Sans Light" w:hAnsi="Open Sans Light" w:cs="Open Sans Light"/>
          <w:sz w:val="18"/>
          <w:szCs w:val="18"/>
        </w:rPr>
      </w:pPr>
      <w:r w:rsidRPr="00350BB7">
        <w:rPr>
          <w:rFonts w:ascii="Open Sans Light" w:hAnsi="Open Sans Light" w:cs="Open Sans Light"/>
          <w:sz w:val="18"/>
          <w:szCs w:val="18"/>
        </w:rPr>
        <w:lastRenderedPageBreak/>
        <w:t xml:space="preserve">Welshman, J. (2016) ‘Troubles and the Family: Changes and Continuities Since 1943’ </w:t>
      </w:r>
      <w:r w:rsidRPr="00350BB7">
        <w:rPr>
          <w:rFonts w:ascii="Open Sans Light" w:hAnsi="Open Sans Light" w:cs="Open Sans Light"/>
          <w:i/>
          <w:iCs/>
          <w:sz w:val="18"/>
          <w:szCs w:val="18"/>
        </w:rPr>
        <w:t>Social Policy and Society</w:t>
      </w:r>
      <w:r w:rsidRPr="00350BB7">
        <w:rPr>
          <w:rFonts w:ascii="Open Sans Light" w:hAnsi="Open Sans Light" w:cs="Open Sans Light"/>
          <w:sz w:val="18"/>
          <w:szCs w:val="18"/>
        </w:rPr>
        <w:t xml:space="preserve">, 16(1): 109-117. </w:t>
      </w:r>
    </w:p>
    <w:p w14:paraId="64A34EC5" w14:textId="06CBF82A" w:rsidR="00DB40E7" w:rsidRPr="00DB40E7" w:rsidRDefault="001D07D5" w:rsidP="00931871">
      <w:r w:rsidRPr="6002C6A8">
        <w:rPr>
          <w:rFonts w:ascii="Open Sans Light" w:hAnsi="Open Sans Light" w:cs="Open Sans Light"/>
          <w:sz w:val="18"/>
          <w:szCs w:val="18"/>
        </w:rPr>
        <w:t xml:space="preserve">Whitworth, A. (2020) ‘Spatial Creaming and </w:t>
      </w:r>
      <w:bookmarkStart w:id="100" w:name="_Int_hNbMkVw5"/>
      <w:r w:rsidRPr="6002C6A8">
        <w:rPr>
          <w:rFonts w:ascii="Open Sans Light" w:hAnsi="Open Sans Light" w:cs="Open Sans Light"/>
          <w:sz w:val="18"/>
          <w:szCs w:val="18"/>
        </w:rPr>
        <w:t>Parking?:</w:t>
      </w:r>
      <w:bookmarkEnd w:id="100"/>
      <w:r w:rsidRPr="6002C6A8">
        <w:rPr>
          <w:rFonts w:ascii="Open Sans Light" w:hAnsi="Open Sans Light" w:cs="Open Sans Light"/>
          <w:sz w:val="18"/>
          <w:szCs w:val="18"/>
        </w:rPr>
        <w:t xml:space="preserve"> the Case of the UK Work Programme’ </w:t>
      </w:r>
      <w:r w:rsidRPr="6002C6A8">
        <w:rPr>
          <w:rFonts w:ascii="Open Sans Light" w:hAnsi="Open Sans Light" w:cs="Open Sans Light"/>
          <w:i/>
          <w:iCs/>
          <w:sz w:val="18"/>
          <w:szCs w:val="18"/>
        </w:rPr>
        <w:t>Applied Spatial Analysis and Policy</w:t>
      </w:r>
      <w:r w:rsidRPr="6002C6A8">
        <w:rPr>
          <w:rFonts w:ascii="Open Sans Light" w:hAnsi="Open Sans Light" w:cs="Open Sans Light"/>
          <w:sz w:val="18"/>
          <w:szCs w:val="18"/>
        </w:rPr>
        <w:t xml:space="preserve">, 14: 135-152. </w:t>
      </w:r>
    </w:p>
    <w:sectPr w:rsidR="00DB40E7" w:rsidRPr="00DB40E7" w:rsidSect="005D7F4F">
      <w:headerReference w:type="first" r:id="rId48"/>
      <w:pgSz w:w="11906" w:h="16838" w:code="9"/>
      <w:pgMar w:top="1701" w:right="1134" w:bottom="1701"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9040A" w14:textId="77777777" w:rsidR="00A12B2A" w:rsidRDefault="00A12B2A" w:rsidP="00231F2C">
      <w:pPr>
        <w:spacing w:after="0" w:line="240" w:lineRule="auto"/>
      </w:pPr>
      <w:r>
        <w:separator/>
      </w:r>
    </w:p>
    <w:p w14:paraId="673CE200" w14:textId="77777777" w:rsidR="00A12B2A" w:rsidRDefault="00A12B2A"/>
    <w:p w14:paraId="25B70945" w14:textId="77777777" w:rsidR="00A12B2A" w:rsidRDefault="00A12B2A"/>
  </w:endnote>
  <w:endnote w:type="continuationSeparator" w:id="0">
    <w:p w14:paraId="57930869" w14:textId="77777777" w:rsidR="00A12B2A" w:rsidRDefault="00A12B2A" w:rsidP="00231F2C">
      <w:pPr>
        <w:spacing w:after="0" w:line="240" w:lineRule="auto"/>
      </w:pPr>
      <w:r>
        <w:continuationSeparator/>
      </w:r>
    </w:p>
    <w:p w14:paraId="3EB690DE" w14:textId="77777777" w:rsidR="00A12B2A" w:rsidRDefault="00A12B2A"/>
    <w:p w14:paraId="7CE05DA0" w14:textId="77777777" w:rsidR="00A12B2A" w:rsidRDefault="00A12B2A"/>
  </w:endnote>
  <w:endnote w:type="continuationNotice" w:id="1">
    <w:p w14:paraId="07FD84B3" w14:textId="77777777" w:rsidR="00A12B2A" w:rsidRDefault="00A12B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763FA" w14:textId="77777777" w:rsidR="00A92BA1" w:rsidRDefault="00534BDF">
    <w:pPr>
      <w:pStyle w:val="Footer"/>
    </w:pPr>
    <w:r>
      <w:rPr>
        <w:noProof/>
        <w:lang w:eastAsia="en-GB"/>
      </w:rPr>
      <w:drawing>
        <wp:anchor distT="0" distB="0" distL="114300" distR="114300" simplePos="0" relativeHeight="251658241" behindDoc="0" locked="0" layoutInCell="1" allowOverlap="1" wp14:anchorId="338B1252" wp14:editId="1A37F9C5">
          <wp:simplePos x="0" y="0"/>
          <wp:positionH relativeFrom="leftMargin">
            <wp:posOffset>720090</wp:posOffset>
          </wp:positionH>
          <wp:positionV relativeFrom="paragraph">
            <wp:posOffset>-3765191</wp:posOffset>
          </wp:positionV>
          <wp:extent cx="2700000" cy="558000"/>
          <wp:effectExtent l="0" t="0" r="5715" b="0"/>
          <wp:wrapNone/>
          <wp:docPr id="1649797412" name="Picture 16497974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797412" name="Picture 16497974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558000"/>
                  </a:xfrm>
                  <a:prstGeom prst="rect">
                    <a:avLst/>
                  </a:prstGeom>
                </pic:spPr>
              </pic:pic>
            </a:graphicData>
          </a:graphic>
          <wp14:sizeRelH relativeFrom="margin">
            <wp14:pctWidth>0</wp14:pctWidth>
          </wp14:sizeRelH>
          <wp14:sizeRelV relativeFrom="margin">
            <wp14:pctHeight>0</wp14:pctHeight>
          </wp14:sizeRelV>
        </wp:anchor>
      </w:drawing>
    </w:r>
    <w:r w:rsidR="0096093B">
      <w:rPr>
        <w:noProof/>
        <w:lang w:eastAsia="en-GB"/>
      </w:rPr>
      <w:drawing>
        <wp:anchor distT="0" distB="0" distL="114300" distR="114300" simplePos="0" relativeHeight="251658242" behindDoc="0" locked="0" layoutInCell="1" allowOverlap="1" wp14:anchorId="3FDFD793" wp14:editId="7075B72E">
          <wp:simplePos x="0" y="0"/>
          <wp:positionH relativeFrom="leftMargin">
            <wp:posOffset>720090</wp:posOffset>
          </wp:positionH>
          <wp:positionV relativeFrom="paragraph">
            <wp:posOffset>-3765191</wp:posOffset>
          </wp:positionV>
          <wp:extent cx="2700000" cy="558000"/>
          <wp:effectExtent l="0" t="0" r="5715" b="0"/>
          <wp:wrapNone/>
          <wp:docPr id="146910303" name="Picture 1469103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10303" name="Picture 14691030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558000"/>
                  </a:xfrm>
                  <a:prstGeom prst="rect">
                    <a:avLst/>
                  </a:prstGeom>
                </pic:spPr>
              </pic:pic>
            </a:graphicData>
          </a:graphic>
          <wp14:sizeRelH relativeFrom="margin">
            <wp14:pctWidth>0</wp14:pctWidth>
          </wp14:sizeRelH>
          <wp14:sizeRelV relativeFrom="margin">
            <wp14:pctHeight>0</wp14:pctHeight>
          </wp14:sizeRelV>
        </wp:anchor>
      </w:drawing>
    </w:r>
    <w:r w:rsidR="0096093B">
      <w:rPr>
        <w:noProof/>
        <w:lang w:eastAsia="en-GB"/>
      </w:rPr>
      <w:drawing>
        <wp:anchor distT="0" distB="0" distL="114300" distR="114300" simplePos="0" relativeHeight="251658243" behindDoc="0" locked="0" layoutInCell="1" allowOverlap="1" wp14:anchorId="77631404" wp14:editId="6F015DE3">
          <wp:simplePos x="0" y="0"/>
          <wp:positionH relativeFrom="leftMargin">
            <wp:posOffset>720090</wp:posOffset>
          </wp:positionH>
          <wp:positionV relativeFrom="paragraph">
            <wp:posOffset>-3765191</wp:posOffset>
          </wp:positionV>
          <wp:extent cx="2700000" cy="558000"/>
          <wp:effectExtent l="0" t="0" r="5715" b="0"/>
          <wp:wrapNone/>
          <wp:docPr id="134075685" name="Picture 1340756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75685" name="Picture 13407568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0000" cy="55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F166A" w14:textId="77777777" w:rsidR="00A12B2A" w:rsidRDefault="00A12B2A">
      <w:r>
        <w:separator/>
      </w:r>
    </w:p>
  </w:footnote>
  <w:footnote w:type="continuationSeparator" w:id="0">
    <w:p w14:paraId="06C1555E" w14:textId="77777777" w:rsidR="00A12B2A" w:rsidRDefault="00A12B2A" w:rsidP="00627BC0">
      <w:pPr>
        <w:spacing w:after="0" w:line="240" w:lineRule="auto"/>
      </w:pPr>
      <w:r>
        <w:continuationSeparator/>
      </w:r>
    </w:p>
  </w:footnote>
  <w:footnote w:type="continuationNotice" w:id="1">
    <w:p w14:paraId="63F49A44" w14:textId="77777777" w:rsidR="00A12B2A" w:rsidRDefault="00A12B2A">
      <w:pPr>
        <w:spacing w:after="0" w:line="240" w:lineRule="auto"/>
      </w:pPr>
    </w:p>
    <w:p w14:paraId="39CF19FD" w14:textId="77777777" w:rsidR="00A12B2A" w:rsidRDefault="00A12B2A"/>
  </w:footnote>
  <w:footnote w:id="2">
    <w:p w14:paraId="7C40464C" w14:textId="77777777" w:rsidR="00AD2CF2" w:rsidRPr="00FF00B1" w:rsidRDefault="00AD2CF2" w:rsidP="003A08FF">
      <w:pPr>
        <w:pStyle w:val="EcorysFootnote"/>
      </w:pPr>
      <w:r w:rsidRPr="00FF00B1">
        <w:rPr>
          <w:rStyle w:val="FootnoteReference"/>
          <w:sz w:val="16"/>
          <w:szCs w:val="16"/>
        </w:rPr>
        <w:footnoteRef/>
      </w:r>
      <w:r w:rsidRPr="00FF00B1">
        <w:t xml:space="preserve"> A SIB is essentially a type of payment by results (PbR) contract. Like other types of PbR, a commissioner</w:t>
      </w:r>
      <w:r>
        <w:t xml:space="preserve"> </w:t>
      </w:r>
      <w:r w:rsidRPr="00FF00B1">
        <w:t>(usually one or more public sector bodies) agrees to pay for results delivered by service providers, and</w:t>
      </w:r>
      <w:r>
        <w:t xml:space="preserve"> </w:t>
      </w:r>
      <w:r w:rsidRPr="00FF00B1">
        <w:t xml:space="preserve">unless those results are achieved, the commissioner does not pay. See here: </w:t>
      </w:r>
      <w:hyperlink r:id="rId1" w:history="1">
        <w:r w:rsidRPr="00FF00B1">
          <w:rPr>
            <w:rStyle w:val="Hyperlink"/>
            <w:sz w:val="16"/>
            <w:szCs w:val="16"/>
          </w:rPr>
          <w:t>https://golab.bsg.ox.ac.uk/documents/CBO-3rd-update-report.pdf</w:t>
        </w:r>
      </w:hyperlink>
      <w:r w:rsidRPr="00FF00B1">
        <w:t xml:space="preserve"> </w:t>
      </w:r>
    </w:p>
  </w:footnote>
  <w:footnote w:id="3">
    <w:p w14:paraId="49AB43BF" w14:textId="1553728C" w:rsidR="00C03026" w:rsidRDefault="00C03026" w:rsidP="003A08FF">
      <w:pPr>
        <w:pStyle w:val="EcorysFootnote"/>
      </w:pPr>
      <w:r>
        <w:rPr>
          <w:rStyle w:val="FootnoteReference"/>
        </w:rPr>
        <w:footnoteRef/>
      </w:r>
      <w:r>
        <w:t xml:space="preserve"> The time allocated to REA 2 was higher than REA 1, hence the difference in the number of documents.</w:t>
      </w:r>
    </w:p>
  </w:footnote>
  <w:footnote w:id="4">
    <w:p w14:paraId="29FDB981" w14:textId="35DC20DD" w:rsidR="003516AD" w:rsidRDefault="003516AD" w:rsidP="00C03026">
      <w:pPr>
        <w:pStyle w:val="EcorysFootnote"/>
      </w:pPr>
      <w:r>
        <w:rPr>
          <w:rStyle w:val="FootnoteReference"/>
        </w:rPr>
        <w:footnoteRef/>
      </w:r>
      <w:r>
        <w:t xml:space="preserve"> At the time of reporting (202</w:t>
      </w:r>
      <w:r w:rsidR="00231E17">
        <w:t>4</w:t>
      </w:r>
      <w:r>
        <w:t>), the department has been renamed as ‘Department for Levelling Up, Housing and Communities’ (DLUHC).</w:t>
      </w:r>
    </w:p>
  </w:footnote>
  <w:footnote w:id="5">
    <w:p w14:paraId="626684B8" w14:textId="571B2FB8" w:rsidR="003A08FF" w:rsidRDefault="003A08FF">
      <w:pPr>
        <w:pStyle w:val="FootnoteText"/>
      </w:pPr>
      <w:r>
        <w:rPr>
          <w:rStyle w:val="FootnoteReference"/>
        </w:rPr>
        <w:footnoteRef/>
      </w:r>
      <w:r>
        <w:t xml:space="preserve"> </w:t>
      </w:r>
      <w:r w:rsidRPr="003A08FF">
        <w:t>https://www.gov.uk/guidance/the-commissioning-academy-information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46E4C" w14:textId="77777777" w:rsidR="00A92BA1" w:rsidRPr="00E86390" w:rsidRDefault="00A92BA1" w:rsidP="008D2EB8">
    <w:pPr>
      <w:rPr>
        <w:rFonts w:ascii="Montserrat" w:hAnsi="Montserrat"/>
        <w:color w:val="006EB8"/>
        <w:sz w:val="28"/>
        <w:szCs w:val="28"/>
      </w:rPr>
    </w:pPr>
    <w:r w:rsidRPr="006320F5">
      <w:rPr>
        <w:noProof/>
        <w:lang w:eastAsia="en-GB"/>
      </w:rPr>
      <mc:AlternateContent>
        <mc:Choice Requires="wps">
          <w:drawing>
            <wp:anchor distT="45720" distB="45720" distL="114300" distR="114300" simplePos="0" relativeHeight="251658244" behindDoc="0" locked="0" layoutInCell="1" allowOverlap="1" wp14:anchorId="19BEF535" wp14:editId="764C609A">
              <wp:simplePos x="0" y="0"/>
              <wp:positionH relativeFrom="page">
                <wp:align>center</wp:align>
              </wp:positionH>
              <wp:positionV relativeFrom="paragraph">
                <wp:posOffset>45085</wp:posOffset>
              </wp:positionV>
              <wp:extent cx="4524376" cy="422563"/>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6" cy="422563"/>
                      </a:xfrm>
                      <a:prstGeom prst="rect">
                        <a:avLst/>
                      </a:prstGeom>
                      <a:noFill/>
                      <a:ln w="9525">
                        <a:noFill/>
                        <a:miter lim="800000"/>
                        <a:headEnd/>
                        <a:tailEnd/>
                      </a:ln>
                    </wps:spPr>
                    <wps:txbx>
                      <w:txbxContent>
                        <w:p w14:paraId="760C6A2A" w14:textId="77777777" w:rsidR="006640BC" w:rsidRPr="00E86390" w:rsidRDefault="006640BC" w:rsidP="006640BC">
                          <w:pPr>
                            <w:pStyle w:val="EcorysFolioText"/>
                          </w:pPr>
                          <w:r>
                            <w:t>The political economy of Commissioning: Commissioning for earlier and better outcomes</w:t>
                          </w:r>
                        </w:p>
                        <w:p w14:paraId="44C018AD" w14:textId="2BBC68C7" w:rsidR="00A92BA1" w:rsidRPr="00E86390" w:rsidRDefault="00A92BA1" w:rsidP="00557E7A">
                          <w:pPr>
                            <w:pStyle w:val="EcorysFolioText"/>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BEF535" id="_x0000_t202" coordsize="21600,21600" o:spt="202" path="m,l,21600r21600,l21600,xe">
              <v:stroke joinstyle="miter"/>
              <v:path gradientshapeok="t" o:connecttype="rect"/>
            </v:shapetype>
            <v:shape id="Text Box 2" o:spid="_x0000_s1026" type="#_x0000_t202" style="position:absolute;margin-left:0;margin-top:3.55pt;width:356.25pt;height:33.25pt;z-index:25165824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" filled="f" stroked="f">
              <v:textbox inset="0,,0">
                <w:txbxContent>
                  <w:p w14:paraId="760C6A2A" w14:textId="77777777" w:rsidR="006640BC" w:rsidRPr="00E86390" w:rsidRDefault="006640BC" w:rsidP="006640BC">
                    <w:pPr>
                      <w:pStyle w:val="EcorysFolioText"/>
                    </w:pPr>
                    <w:r>
                      <w:t>The political economy of Commissioning: Commissioning for earlier and better outcomes</w:t>
                    </w:r>
                  </w:p>
                  <w:p w14:paraId="44C018AD" w14:textId="2BBC68C7" w:rsidR="00A92BA1" w:rsidRPr="00E86390" w:rsidRDefault="00A92BA1" w:rsidP="00557E7A">
                    <w:pPr>
                      <w:pStyle w:val="EcorysFolioText"/>
                    </w:pPr>
                  </w:p>
                </w:txbxContent>
              </v:textbox>
              <w10:wrap anchorx="page"/>
            </v:shape>
          </w:pict>
        </mc:Fallback>
      </mc:AlternateContent>
    </w:r>
    <w:r w:rsidRPr="006320F5">
      <w:rPr>
        <w:rFonts w:ascii="Montserrat" w:hAnsi="Montserrat"/>
        <w:color w:val="006EB8"/>
        <w:sz w:val="28"/>
        <w:szCs w:val="28"/>
      </w:rPr>
      <w:t>/</w:t>
    </w:r>
    <w:sdt>
      <w:sdtPr>
        <w:rPr>
          <w:rFonts w:ascii="Montserrat" w:hAnsi="Montserrat"/>
          <w:b/>
          <w:color w:val="006EB8"/>
          <w:sz w:val="28"/>
          <w:szCs w:val="28"/>
        </w:rPr>
        <w:id w:val="-1288202479"/>
        <w:docPartObj>
          <w:docPartGallery w:val="Page Numbers (Top of Page)"/>
          <w:docPartUnique/>
        </w:docPartObj>
      </w:sdtPr>
      <w:sdtEndPr>
        <w:rPr>
          <w:noProof/>
        </w:rPr>
      </w:sdtEndPr>
      <w:sdtContent>
        <w:r>
          <w:rPr>
            <w:rFonts w:ascii="Montserrat" w:hAnsi="Montserrat"/>
            <w:b/>
            <w:color w:val="006EB8"/>
            <w:sz w:val="28"/>
            <w:szCs w:val="28"/>
          </w:rPr>
          <w:t xml:space="preserve"> </w:t>
        </w:r>
        <w:r w:rsidRPr="00122B33">
          <w:rPr>
            <w:rStyle w:val="EcorysFolioNumberChar"/>
            <w:b/>
          </w:rPr>
          <w:fldChar w:fldCharType="begin"/>
        </w:r>
        <w:r w:rsidRPr="00122B33">
          <w:rPr>
            <w:rStyle w:val="EcorysFolioNumberChar"/>
            <w:b/>
          </w:rPr>
          <w:instrText xml:space="preserve"> PAGE   \* MERGEFORMAT </w:instrText>
        </w:r>
        <w:r w:rsidRPr="00122B33">
          <w:rPr>
            <w:rStyle w:val="EcorysFolioNumberChar"/>
            <w:b/>
          </w:rPr>
          <w:fldChar w:fldCharType="separate"/>
        </w:r>
        <w:r w:rsidR="00553C66">
          <w:rPr>
            <w:rStyle w:val="EcorysFolioNumberChar"/>
            <w:b/>
            <w:noProof/>
          </w:rPr>
          <w:t>6</w:t>
        </w:r>
        <w:r w:rsidRPr="00122B33">
          <w:rPr>
            <w:rStyle w:val="EcorysFolioNumberChar"/>
            <w:b/>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7086F" w14:textId="77777777" w:rsidR="00A92BA1" w:rsidRPr="000A0F93" w:rsidRDefault="00A92BA1" w:rsidP="00DF1866">
    <w:pPr>
      <w:pStyle w:val="EcorysFolioNumber"/>
    </w:pPr>
    <w:r w:rsidRPr="006320F5">
      <w:rPr>
        <w:noProof/>
        <w:lang w:eastAsia="en-GB"/>
      </w:rPr>
      <mc:AlternateContent>
        <mc:Choice Requires="wps">
          <w:drawing>
            <wp:anchor distT="45720" distB="45720" distL="114300" distR="114300" simplePos="0" relativeHeight="251658245" behindDoc="0" locked="0" layoutInCell="1" allowOverlap="1" wp14:anchorId="003FB80E" wp14:editId="3FDE9717">
              <wp:simplePos x="0" y="0"/>
              <wp:positionH relativeFrom="margin">
                <wp:posOffset>430010</wp:posOffset>
              </wp:positionH>
              <wp:positionV relativeFrom="paragraph">
                <wp:posOffset>48549</wp:posOffset>
              </wp:positionV>
              <wp:extent cx="4524376" cy="464127"/>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6" cy="464127"/>
                      </a:xfrm>
                      <a:prstGeom prst="rect">
                        <a:avLst/>
                      </a:prstGeom>
                      <a:noFill/>
                      <a:ln w="9525">
                        <a:noFill/>
                        <a:miter lim="800000"/>
                        <a:headEnd/>
                        <a:tailEnd/>
                      </a:ln>
                    </wps:spPr>
                    <wps:txbx>
                      <w:txbxContent>
                        <w:p w14:paraId="3F9E4C15" w14:textId="77777777" w:rsidR="000939A6" w:rsidRPr="00E86390" w:rsidRDefault="000939A6" w:rsidP="000939A6">
                          <w:pPr>
                            <w:pStyle w:val="EcorysFolioText"/>
                          </w:pPr>
                          <w:r>
                            <w:t>The political economy of Commissioning: Commissioning for earlier and better outcomes</w:t>
                          </w:r>
                        </w:p>
                        <w:p w14:paraId="6C182F88" w14:textId="319516F4" w:rsidR="00A92BA1" w:rsidRPr="00E86390" w:rsidRDefault="00A92BA1" w:rsidP="00557E7A">
                          <w:pPr>
                            <w:pStyle w:val="EcorysFolioText"/>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3FB80E" id="_x0000_t202" coordsize="21600,21600" o:spt="202" path="m,l,21600r21600,l21600,xe">
              <v:stroke joinstyle="miter"/>
              <v:path gradientshapeok="t" o:connecttype="rect"/>
            </v:shapetype>
            <v:shape id="_x0000_s1027" type="#_x0000_t202" style="position:absolute;left:0;text-align:left;margin-left:33.85pt;margin-top:3.8pt;width:356.25pt;height:36.5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" filled="f" stroked="f">
              <v:textbox inset="0,,0">
                <w:txbxContent>
                  <w:p w14:paraId="3F9E4C15" w14:textId="77777777" w:rsidR="000939A6" w:rsidRPr="00E86390" w:rsidRDefault="000939A6" w:rsidP="000939A6">
                    <w:pPr>
                      <w:pStyle w:val="EcorysFolioText"/>
                    </w:pPr>
                    <w:r>
                      <w:t>The political economy of Commissioning: Commissioning for earlier and better outcomes</w:t>
                    </w:r>
                  </w:p>
                  <w:p w14:paraId="6C182F88" w14:textId="319516F4" w:rsidR="00A92BA1" w:rsidRPr="00E86390" w:rsidRDefault="00A92BA1" w:rsidP="00557E7A">
                    <w:pPr>
                      <w:pStyle w:val="EcorysFolioText"/>
                    </w:pPr>
                  </w:p>
                </w:txbxContent>
              </v:textbox>
              <w10:wrap anchorx="margin"/>
            </v:shape>
          </w:pict>
        </mc:Fallback>
      </mc:AlternateContent>
    </w:r>
    <w:r w:rsidRPr="006320F5">
      <w:t>/</w:t>
    </w:r>
    <w:sdt>
      <w:sdtPr>
        <w:id w:val="-1132554909"/>
        <w:docPartObj>
          <w:docPartGallery w:val="Page Numbers (Top of Page)"/>
          <w:docPartUnique/>
        </w:docPartObj>
      </w:sdtPr>
      <w:sdtEndPr>
        <w:rPr>
          <w:noProof/>
        </w:rPr>
      </w:sdtEndPr>
      <w:sdtContent>
        <w:r>
          <w:t xml:space="preserve"> </w:t>
        </w:r>
        <w:r w:rsidRPr="00122B33">
          <w:rPr>
            <w:rStyle w:val="EcorysFolioNumberChar"/>
            <w:b/>
          </w:rPr>
          <w:fldChar w:fldCharType="begin"/>
        </w:r>
        <w:r w:rsidRPr="00122B33">
          <w:rPr>
            <w:rStyle w:val="EcorysFolioNumberChar"/>
            <w:b/>
          </w:rPr>
          <w:instrText xml:space="preserve"> PAGE   \* MERGEFORMAT </w:instrText>
        </w:r>
        <w:r w:rsidRPr="00122B33">
          <w:rPr>
            <w:rStyle w:val="EcorysFolioNumberChar"/>
            <w:b/>
          </w:rPr>
          <w:fldChar w:fldCharType="separate"/>
        </w:r>
        <w:r w:rsidR="00553C66">
          <w:rPr>
            <w:rStyle w:val="EcorysFolioNumberChar"/>
            <w:b/>
            <w:noProof/>
          </w:rPr>
          <w:t>9</w:t>
        </w:r>
        <w:r w:rsidRPr="00122B33">
          <w:rPr>
            <w:rStyle w:val="EcorysFolioNumberChar"/>
            <w:b/>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B2369" w14:textId="27778E62" w:rsidR="00A92BA1" w:rsidRDefault="00C41B4E" w:rsidP="001447A7">
    <w:pPr>
      <w:ind w:left="-284" w:hanging="284"/>
    </w:pPr>
    <w:r>
      <w:rPr>
        <w:noProof/>
        <w:lang w:eastAsia="en-GB"/>
      </w:rPr>
      <w:drawing>
        <wp:anchor distT="0" distB="0" distL="114300" distR="114300" simplePos="0" relativeHeight="251660294" behindDoc="1" locked="0" layoutInCell="1" allowOverlap="1" wp14:anchorId="309DFA47" wp14:editId="6D08E6C6">
          <wp:simplePos x="0" y="0"/>
          <wp:positionH relativeFrom="page">
            <wp:posOffset>0</wp:posOffset>
          </wp:positionH>
          <wp:positionV relativeFrom="page">
            <wp:posOffset>-9525</wp:posOffset>
          </wp:positionV>
          <wp:extent cx="7558768" cy="10691999"/>
          <wp:effectExtent l="0" t="0" r="4445"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9DE04" w14:textId="77777777" w:rsidR="00553C66" w:rsidRDefault="00553C66" w:rsidP="009674C3">
    <w:pPr>
      <w:pStyle w:val="EcorysFolioNumber"/>
    </w:pPr>
    <w:r w:rsidRPr="006320F5">
      <w:rPr>
        <w:noProof/>
        <w:lang w:eastAsia="en-GB"/>
      </w:rPr>
      <mc:AlternateContent>
        <mc:Choice Requires="wps">
          <w:drawing>
            <wp:anchor distT="45720" distB="45720" distL="114300" distR="114300" simplePos="0" relativeHeight="251658246" behindDoc="0" locked="0" layoutInCell="1" allowOverlap="1" wp14:anchorId="2C180F92" wp14:editId="3837158F">
              <wp:simplePos x="0" y="0"/>
              <wp:positionH relativeFrom="margin">
                <wp:align>center</wp:align>
              </wp:positionH>
              <wp:positionV relativeFrom="paragraph">
                <wp:posOffset>45085</wp:posOffset>
              </wp:positionV>
              <wp:extent cx="4524376" cy="450272"/>
              <wp:effectExtent l="0" t="0" r="952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6" cy="450272"/>
                      </a:xfrm>
                      <a:prstGeom prst="rect">
                        <a:avLst/>
                      </a:prstGeom>
                      <a:noFill/>
                      <a:ln w="9525">
                        <a:noFill/>
                        <a:miter lim="800000"/>
                        <a:headEnd/>
                        <a:tailEnd/>
                      </a:ln>
                    </wps:spPr>
                    <wps:txbx>
                      <w:txbxContent>
                        <w:p w14:paraId="5B7EA822" w14:textId="77777777" w:rsidR="000939A6" w:rsidRPr="00E86390" w:rsidRDefault="000939A6" w:rsidP="000939A6">
                          <w:pPr>
                            <w:pStyle w:val="EcorysFolioText"/>
                          </w:pPr>
                          <w:r>
                            <w:t>The political economy of Commissioning: Commissioning for earlier and better outcomes</w:t>
                          </w:r>
                        </w:p>
                        <w:p w14:paraId="5BB72F92" w14:textId="2A1DFCF9" w:rsidR="00553C66" w:rsidRPr="00E86390" w:rsidRDefault="00553C66" w:rsidP="00557E7A">
                          <w:pPr>
                            <w:pStyle w:val="EcorysFolioText"/>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180F92" id="_x0000_t202" coordsize="21600,21600" o:spt="202" path="m,l,21600r21600,l21600,xe">
              <v:stroke joinstyle="miter"/>
              <v:path gradientshapeok="t" o:connecttype="rect"/>
            </v:shapetype>
            <v:shape id="_x0000_s1028" type="#_x0000_t202" style="position:absolute;left:0;text-align:left;margin-left:0;margin-top:3.55pt;width:356.25pt;height:35.45pt;z-index:25165824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" filled="f" stroked="f">
              <v:textbox inset="0,,0">
                <w:txbxContent>
                  <w:p w14:paraId="5B7EA822" w14:textId="77777777" w:rsidR="000939A6" w:rsidRPr="00E86390" w:rsidRDefault="000939A6" w:rsidP="000939A6">
                    <w:pPr>
                      <w:pStyle w:val="EcorysFolioText"/>
                    </w:pPr>
                    <w:r>
                      <w:t>The political economy of Commissioning: Commissioning for earlier and better outcomes</w:t>
                    </w:r>
                  </w:p>
                  <w:p w14:paraId="5BB72F92" w14:textId="2A1DFCF9" w:rsidR="00553C66" w:rsidRPr="00E86390" w:rsidRDefault="00553C66" w:rsidP="00557E7A">
                    <w:pPr>
                      <w:pStyle w:val="EcorysFolioText"/>
                    </w:pPr>
                  </w:p>
                </w:txbxContent>
              </v:textbox>
              <w10:wrap anchorx="margin"/>
            </v:shape>
          </w:pict>
        </mc:Fallback>
      </mc:AlternateContent>
    </w:r>
    <w:sdt>
      <w:sdtPr>
        <w:id w:val="1589512271"/>
        <w:docPartObj>
          <w:docPartGallery w:val="Page Numbers (Top of Page)"/>
          <w:docPartUnique/>
        </w:docPartObj>
      </w:sdtPr>
      <w:sdtEndPr>
        <w:rPr>
          <w:b/>
          <w:noProof/>
        </w:rPr>
      </w:sdtEndPr>
      <w:sdtContent>
        <w:r>
          <w:t xml:space="preserve">/ </w:t>
        </w:r>
        <w:r w:rsidRPr="009674C3">
          <w:rPr>
            <w:b/>
          </w:rPr>
          <w:fldChar w:fldCharType="begin"/>
        </w:r>
        <w:r w:rsidRPr="009674C3">
          <w:rPr>
            <w:b/>
          </w:rPr>
          <w:instrText xml:space="preserve"> PAGE   \* MERGEFORMAT </w:instrText>
        </w:r>
        <w:r w:rsidRPr="009674C3">
          <w:rPr>
            <w:b/>
          </w:rPr>
          <w:fldChar w:fldCharType="separate"/>
        </w:r>
        <w:r>
          <w:rPr>
            <w:b/>
            <w:noProof/>
          </w:rPr>
          <w:t>11</w:t>
        </w:r>
        <w:r w:rsidRPr="009674C3">
          <w:rPr>
            <w:b/>
            <w:noProof/>
          </w:rPr>
          <w:fldChar w:fldCharType="end"/>
        </w:r>
      </w:sdtContent>
    </w:sdt>
  </w:p>
</w:hdr>
</file>

<file path=word/intelligence2.xml><?xml version="1.0" encoding="utf-8"?>
<int2:intelligence xmlns:int2="http://schemas.microsoft.com/office/intelligence/2020/intelligence" xmlns:oel="http://schemas.microsoft.com/office/2019/extlst">
  <int2:observations>
    <int2:textHash int2:hashCode="/umiRDgM791SKF" int2:id="UWo0M2eW">
      <int2:state int2:value="Rejected" int2:type="AugLoop_Text_Critique"/>
    </int2:textHash>
    <int2:textHash int2:hashCode="oyl1QBrnE7zoAc" int2:id="JjzWjgN0">
      <int2:state int2:value="Rejected" int2:type="AugLoop_Text_Critique"/>
    </int2:textHash>
    <int2:textHash int2:hashCode="Q2AFtKETvMEMQE" int2:id="XX4dd8jj">
      <int2:state int2:value="Rejected" int2:type="AugLoop_Text_Critique"/>
    </int2:textHash>
    <int2:textHash int2:hashCode="l5u1597lG6NuaG" int2:id="iFP3dCCb">
      <int2:state int2:value="Rejected" int2:type="AugLoop_Text_Critique"/>
    </int2:textHash>
    <int2:textHash int2:hashCode="BNMv9jlcnoIVdm" int2:id="IKQnFWQ3">
      <int2:state int2:value="Rejected" int2:type="AugLoop_Text_Critique"/>
    </int2:textHash>
    <int2:textHash int2:hashCode="aaQpWa8+WXSqCE" int2:id="MWa3MXh8">
      <int2:state int2:value="Rejected" int2:type="AugLoop_Text_Critique"/>
    </int2:textHash>
    <int2:textHash int2:hashCode="3IUsZ6yaGDfWNj" int2:id="IYfIq10f">
      <int2:state int2:value="Rejected" int2:type="AugLoop_Text_Critique"/>
    </int2:textHash>
    <int2:textHash int2:hashCode="MAH0jUlFn8gndk" int2:id="Qhye9JwP">
      <int2:state int2:value="Rejected" int2:type="AugLoop_Text_Critique"/>
    </int2:textHash>
    <int2:textHash int2:hashCode="/bJbiAoQWd0Ct+" int2:id="rfzA38Bt">
      <int2:state int2:value="Rejected" int2:type="AugLoop_Text_Critique"/>
    </int2:textHash>
    <int2:textHash int2:hashCode="JfcB9zu/z3mFmU" int2:id="flsFVoJ3">
      <int2:state int2:value="Rejected" int2:type="AugLoop_Text_Critique"/>
    </int2:textHash>
    <int2:textHash int2:hashCode="F2S5nUr3PUAsjy" int2:id="wxjvHEvp">
      <int2:state int2:value="Rejected" int2:type="AugLoop_Text_Critique"/>
    </int2:textHash>
    <int2:textHash int2:hashCode="BquQNcZN+/yFE+" int2:id="TouOw2oe">
      <int2:state int2:value="Rejected" int2:type="AugLoop_Text_Critique"/>
    </int2:textHash>
    <int2:textHash int2:hashCode="iXJrscLAaQCZ4U" int2:id="xcq1cSHk">
      <int2:state int2:value="Rejected" int2:type="AugLoop_Text_Critique"/>
    </int2:textHash>
    <int2:bookmark int2:bookmarkName="_Int_5h5ue6Ij" int2:invalidationBookmarkName="" int2:hashCode="0GYf/LRGEYcRtn" int2:id="h2GGrXVX">
      <int2:state int2:value="Rejected" int2:type="AugLoop_Text_Critique"/>
    </int2:bookmark>
    <int2:bookmark int2:bookmarkName="_Int_f4tB3vhO" int2:invalidationBookmarkName="" int2:hashCode="XU5kczYaZQRGog" int2:id="Q915A2Ea">
      <int2:state int2:value="Rejected" int2:type="AugLoop_Text_Critique"/>
    </int2:bookmark>
    <int2:bookmark int2:bookmarkName="_Int_2kQNTrKp" int2:invalidationBookmarkName="" int2:hashCode="W5Z4vmu9anL2GF" int2:id="QgMN8EhV">
      <int2:state int2:value="Rejected" int2:type="AugLoop_Text_Critique"/>
    </int2:bookmark>
    <int2:bookmark int2:bookmarkName="_Int_FO7DJWA5" int2:invalidationBookmarkName="" int2:hashCode="MpqnFO4K6lfpZ9" int2:id="pKR7PmiN">
      <int2:state int2:value="Rejected" int2:type="AugLoop_Text_Critique"/>
    </int2:bookmark>
    <int2:bookmark int2:bookmarkName="_Int_v9TIUMGH" int2:invalidationBookmarkName="" int2:hashCode="DQ1hekJBBUpeyW" int2:id="jVZ9PDEV">
      <int2:state int2:value="Rejected" int2:type="AugLoop_Text_Critique"/>
    </int2:bookmark>
    <int2:bookmark int2:bookmarkName="_Int_SCxYEpDw" int2:invalidationBookmarkName="" int2:hashCode="3KKjJeR/dxf+gy" int2:id="kSFmqPk8">
      <int2:state int2:value="Rejected" int2:type="AugLoop_Text_Critique"/>
    </int2:bookmark>
    <int2:bookmark int2:bookmarkName="_Int_Lqd0SuqI" int2:invalidationBookmarkName="" int2:hashCode="VRd/LyDcPFdCnc" int2:id="t1q072A7">
      <int2:state int2:value="Rejected" int2:type="AugLoop_Text_Critique"/>
    </int2:bookmark>
    <int2:bookmark int2:bookmarkName="_Int_sZWkLzzx" int2:invalidationBookmarkName="" int2:hashCode="7y7OKbbdIAv0B+" int2:id="Rt0uoAsi">
      <int2:state int2:value="Rejected" int2:type="AugLoop_Text_Critique"/>
    </int2:bookmark>
    <int2:bookmark int2:bookmarkName="_Int_xzXEgVBu" int2:invalidationBookmarkName="" int2:hashCode="0GYf/LRGEYcRtn" int2:id="cu3gV8YX">
      <int2:state int2:value="Rejected" int2:type="AugLoop_Text_Critique"/>
    </int2:bookmark>
    <int2:bookmark int2:bookmarkName="_Int_r8zOpS9u" int2:invalidationBookmarkName="" int2:hashCode="3KKjJeR/dxf+gy" int2:id="slj0wBVg">
      <int2:state int2:value="Rejected" int2:type="AugLoop_Text_Critique"/>
    </int2:bookmark>
    <int2:bookmark int2:bookmarkName="_Int_Q3Pa2f7L" int2:invalidationBookmarkName="" int2:hashCode="VRd/LyDcPFdCnc" int2:id="wOcXnqDR">
      <int2:state int2:value="Rejected" int2:type="AugLoop_Text_Critique"/>
    </int2:bookmark>
    <int2:bookmark int2:bookmarkName="_Int_cKRPaYdm" int2:invalidationBookmarkName="" int2:hashCode="gD0NHrr6BQHmXZ" int2:id="g8ButkLr">
      <int2:state int2:value="Rejected" int2:type="AugLoop_Text_Critique"/>
    </int2:bookmark>
    <int2:bookmark int2:bookmarkName="_Int_fBfzsr7y" int2:invalidationBookmarkName="" int2:hashCode="5cEnj+BQkBZE21" int2:id="pQY5ycu2">
      <int2:state int2:value="Rejected" int2:type="AugLoop_Text_Critique"/>
    </int2:bookmark>
    <int2:bookmark int2:bookmarkName="_Int_VCbrth17" int2:invalidationBookmarkName="" int2:hashCode="7YfzSrS1YN6gkc" int2:id="jLHb3o7L">
      <int2:state int2:value="Rejected" int2:type="AugLoop_Text_Critique"/>
    </int2:bookmark>
    <int2:bookmark int2:bookmarkName="_Int_9bLtwxGd" int2:invalidationBookmarkName="" int2:hashCode="e0dMsLOcF3PXGS" int2:id="EN6LRLV7">
      <int2:state int2:value="Rejected" int2:type="AugLoop_Text_Critique"/>
    </int2:bookmark>
    <int2:bookmark int2:bookmarkName="_Int_W1bj8T1D" int2:invalidationBookmarkName="" int2:hashCode="R8yiqpv3d2jp83" int2:id="Zvu6oP4t">
      <int2:state int2:value="Rejected" int2:type="AugLoop_Text_Critique"/>
    </int2:bookmark>
    <int2:bookmark int2:bookmarkName="_Int_opbYKEs7" int2:invalidationBookmarkName="" int2:hashCode="/yLf7MouSydGEJ" int2:id="Ry85ZtsE">
      <int2:state int2:value="Rejected" int2:type="AugLoop_Text_Critique"/>
    </int2:bookmark>
    <int2:bookmark int2:bookmarkName="_Int_ZSVN6wAE" int2:invalidationBookmarkName="" int2:hashCode="N6TerAjWvJ861p" int2:id="P8vlOFr9">
      <int2:state int2:value="Rejected" int2:type="AugLoop_Text_Critique"/>
    </int2:bookmark>
    <int2:bookmark int2:bookmarkName="_Int_BLbKcc8l" int2:invalidationBookmarkName="" int2:hashCode="DrWZOXLfEFIGDB" int2:id="1WHGy8YO">
      <int2:state int2:value="Rejected" int2:type="AugLoop_Text_Critique"/>
    </int2:bookmark>
    <int2:bookmark int2:bookmarkName="_Int_uIm5i9Ek" int2:invalidationBookmarkName="" int2:hashCode="Z+vJ+AeTg7LihH" int2:id="bcCAIO2k">
      <int2:state int2:value="Rejected" int2:type="AugLoop_Text_Critique"/>
    </int2:bookmark>
    <int2:bookmark int2:bookmarkName="_Int_CKG24Uj4" int2:invalidationBookmarkName="" int2:hashCode="3aKsP3YcWmO9eC" int2:id="Ahetod3A">
      <int2:state int2:value="Rejected" int2:type="AugLoop_Text_Critique"/>
    </int2:bookmark>
    <int2:bookmark int2:bookmarkName="_Int_h2ThaI4X" int2:invalidationBookmarkName="" int2:hashCode="42dDsInurKTb0X" int2:id="AxDLxjfi">
      <int2:state int2:value="Rejected" int2:type="AugLoop_Text_Critique"/>
    </int2:bookmark>
    <int2:bookmark int2:bookmarkName="_Int_Qmj1QyQz" int2:invalidationBookmarkName="" int2:hashCode="SD6DFtosDOG94/" int2:id="kdXerfVi">
      <int2:state int2:value="Rejected" int2:type="AugLoop_Text_Critique"/>
    </int2:bookmark>
    <int2:bookmark int2:bookmarkName="_Int_I3M9rGos" int2:invalidationBookmarkName="" int2:hashCode="e0dMsLOcF3PXGS" int2:id="gkheivFh">
      <int2:state int2:value="Rejected" int2:type="AugLoop_Text_Critique"/>
    </int2:bookmark>
    <int2:bookmark int2:bookmarkName="_Int_JLwdZQvP" int2:invalidationBookmarkName="" int2:hashCode="YSVpN/ctZQi/Og" int2:id="FAwIaHL8">
      <int2:state int2:value="Rejected" int2:type="AugLoop_Text_Critique"/>
    </int2:bookmark>
    <int2:bookmark int2:bookmarkName="_Int_gzP7NLRm" int2:invalidationBookmarkName="" int2:hashCode="d6WkuvxMT7RMYc" int2:id="wLYX8MGu">
      <int2:state int2:value="Rejected" int2:type="AugLoop_Text_Critique"/>
    </int2:bookmark>
    <int2:bookmark int2:bookmarkName="_Int_a6P5sCSI" int2:invalidationBookmarkName="" int2:hashCode="0GYf/LRGEYcRtn" int2:id="bddS3m1C">
      <int2:state int2:value="Rejected" int2:type="AugLoop_Text_Critique"/>
    </int2:bookmark>
    <int2:bookmark int2:bookmarkName="_Int_CgENOURc" int2:invalidationBookmarkName="" int2:hashCode="0lXQ0GySJQ8tJA" int2:id="vQOtCFze">
      <int2:state int2:value="Rejected" int2:type="AugLoop_Text_Critique"/>
    </int2:bookmark>
    <int2:bookmark int2:bookmarkName="_Int_YjDBo83I" int2:invalidationBookmarkName="" int2:hashCode="VRd/LyDcPFdCnc" int2:id="BgKjhkLP">
      <int2:state int2:value="Rejected" int2:type="AugLoop_Text_Critique"/>
    </int2:bookmark>
    <int2:bookmark int2:bookmarkName="_Int_OQozZ7qd" int2:invalidationBookmarkName="" int2:hashCode="KVsx6vlSbDvbsF" int2:id="cgt4ZSuQ">
      <int2:state int2:value="Rejected" int2:type="AugLoop_Text_Critique"/>
    </int2:bookmark>
    <int2:bookmark int2:bookmarkName="_Int_ZbdHcJnz" int2:invalidationBookmarkName="" int2:hashCode="79FiszCLFeIWye" int2:id="0qhRFFQN">
      <int2:state int2:value="Rejected" int2:type="AugLoop_Text_Critique"/>
    </int2:bookmark>
    <int2:bookmark int2:bookmarkName="_Int_ldy0XrIH" int2:invalidationBookmarkName="" int2:hashCode="VRd/LyDcPFdCnc" int2:id="9IwpEsat">
      <int2:state int2:value="Rejected" int2:type="AugLoop_Text_Critique"/>
    </int2:bookmark>
    <int2:bookmark int2:bookmarkName="_Int_3BoX8cb4" int2:invalidationBookmarkName="" int2:hashCode="tcM5KF7yMyFJwM" int2:id="2xaThdGJ">
      <int2:state int2:value="Rejected" int2:type="AugLoop_Text_Critique"/>
    </int2:bookmark>
    <int2:bookmark int2:bookmarkName="_Int_bmZyv80m" int2:invalidationBookmarkName="" int2:hashCode="5cEnj+BQkBZE21" int2:id="zl8tfInl">
      <int2:state int2:value="Rejected" int2:type="AugLoop_Text_Critique"/>
    </int2:bookmark>
    <int2:bookmark int2:bookmarkName="_Int_zKdbi5Gy" int2:invalidationBookmarkName="" int2:hashCode="wnh/QXS9Zmu2mD" int2:id="BzXIxt3T">
      <int2:state int2:value="Rejected" int2:type="AugLoop_Text_Critique"/>
    </int2:bookmark>
    <int2:bookmark int2:bookmarkName="_Int_d9aEtQgG" int2:invalidationBookmarkName="" int2:hashCode="tkn6voGywrBjZi" int2:id="hVeVQTTT">
      <int2:state int2:value="Rejected" int2:type="AugLoop_Text_Critique"/>
    </int2:bookmark>
    <int2:bookmark int2:bookmarkName="_Int_PzqPJfY5" int2:invalidationBookmarkName="" int2:hashCode="GZz6iq2ZcwGATs" int2:id="FSmRf2CN">
      <int2:state int2:value="Rejected" int2:type="AugLoop_Text_Critique"/>
    </int2:bookmark>
    <int2:bookmark int2:bookmarkName="_Int_bVaHDqbo" int2:invalidationBookmarkName="" int2:hashCode="vIAI7sbmPlhgjO" int2:id="MxBgLD8k">
      <int2:state int2:value="Rejected" int2:type="AugLoop_Text_Critique"/>
    </int2:bookmark>
    <int2:bookmark int2:bookmarkName="_Int_gC2MSv2D" int2:invalidationBookmarkName="" int2:hashCode="s4NL6cYTzhCuLL" int2:id="n7Ticutd">
      <int2:state int2:value="Rejected" int2:type="AugLoop_Text_Critique"/>
    </int2:bookmark>
    <int2:bookmark int2:bookmarkName="_Int_AWMhev6V" int2:invalidationBookmarkName="" int2:hashCode="yGt/AajGvtwzLJ" int2:id="Y5Dfwxgs">
      <int2:state int2:value="Rejected" int2:type="AugLoop_Text_Critique"/>
    </int2:bookmark>
    <int2:bookmark int2:bookmarkName="_Int_shkM0o6s" int2:invalidationBookmarkName="" int2:hashCode="FA/GAJX0nmzNij" int2:id="ztBD5g9R">
      <int2:state int2:value="Rejected" int2:type="AugLoop_Text_Critique"/>
    </int2:bookmark>
    <int2:bookmark int2:bookmarkName="_Int_yJa054FT" int2:invalidationBookmarkName="" int2:hashCode="y21Hx97093B/5K" int2:id="MYMpkyzn">
      <int2:state int2:value="Rejected" int2:type="AugLoop_Text_Critique"/>
    </int2:bookmark>
    <int2:bookmark int2:bookmarkName="_Int_bJZ1ksRF" int2:invalidationBookmarkName="" int2:hashCode="9p8cIKvEKUZF7/" int2:id="BO0iZ2hM">
      <int2:state int2:value="Rejected" int2:type="AugLoop_Text_Critique"/>
    </int2:bookmark>
    <int2:bookmark int2:bookmarkName="_Int_cc4fBhfK" int2:invalidationBookmarkName="" int2:hashCode="g+TMH/DPjax0CO" int2:id="Z242qhST">
      <int2:state int2:value="Rejected" int2:type="AugLoop_Text_Critique"/>
    </int2:bookmark>
    <int2:bookmark int2:bookmarkName="_Int_AmAXqZoY" int2:invalidationBookmarkName="" int2:hashCode="nhm9j56nLJPHE6" int2:id="Rvt0Vt8e">
      <int2:state int2:value="Rejected" int2:type="AugLoop_Text_Critique"/>
    </int2:bookmark>
    <int2:bookmark int2:bookmarkName="_Int_E2I5lidW" int2:invalidationBookmarkName="" int2:hashCode="eFrSqsS/82U2/B" int2:id="W6x9cnEn">
      <int2:state int2:value="Rejected" int2:type="AugLoop_Text_Critique"/>
    </int2:bookmark>
    <int2:bookmark int2:bookmarkName="_Int_hPsnWOov" int2:invalidationBookmarkName="" int2:hashCode="9p8cIKvEKUZF7/" int2:id="ywxcUAs5">
      <int2:state int2:value="Rejected" int2:type="AugLoop_Text_Critique"/>
    </int2:bookmark>
    <int2:bookmark int2:bookmarkName="_Int_7BvwX8lJ" int2:invalidationBookmarkName="" int2:hashCode="SyDlj8g609TV2I" int2:id="eCrgnDsx">
      <int2:state int2:value="Rejected" int2:type="AugLoop_Text_Critique"/>
    </int2:bookmark>
    <int2:bookmark int2:bookmarkName="_Int_FZ52rVXc" int2:invalidationBookmarkName="" int2:hashCode="vIAI7sbmPlhgjO" int2:id="D0j1br8w">
      <int2:state int2:value="Rejected" int2:type="AugLoop_Text_Critique"/>
    </int2:bookmark>
    <int2:bookmark int2:bookmarkName="_Int_UsPVINgv" int2:invalidationBookmarkName="" int2:hashCode="99IMGKzxStxKEj" int2:id="vfulXMZB">
      <int2:state int2:value="Rejected" int2:type="AugLoop_Text_Critique"/>
    </int2:bookmark>
    <int2:bookmark int2:bookmarkName="_Int_SVHCFfZ2" int2:invalidationBookmarkName="" int2:hashCode="zY35RaEegEBz0C" int2:id="9sUfLyqz">
      <int2:state int2:value="Rejected" int2:type="AugLoop_Text_Critique"/>
    </int2:bookmark>
    <int2:bookmark int2:bookmarkName="_Int_mPnfGYvp" int2:invalidationBookmarkName="" int2:hashCode="g+TMH/DPjax0CO" int2:id="ub4qxJMH">
      <int2:state int2:value="Rejected" int2:type="AugLoop_Text_Critique"/>
    </int2:bookmark>
    <int2:bookmark int2:bookmarkName="_Int_nVRocbah" int2:invalidationBookmarkName="" int2:hashCode="yGt/AajGvtwzLJ" int2:id="bBVkbU2b">
      <int2:state int2:value="Rejected" int2:type="AugLoop_Text_Critique"/>
    </int2:bookmark>
    <int2:bookmark int2:bookmarkName="_Int_mbobNKh3" int2:invalidationBookmarkName="" int2:hashCode="rfaowweBQOSFJ2" int2:id="hUQJ0Ja6">
      <int2:state int2:value="Rejected" int2:type="AugLoop_Text_Critique"/>
    </int2:bookmark>
    <int2:bookmark int2:bookmarkName="_Int_wnMnRTr3" int2:invalidationBookmarkName="" int2:hashCode="jru+5AdJweJBGs" int2:id="xHRzp2Pn">
      <int2:state int2:value="Rejected" int2:type="AugLoop_Text_Critique"/>
    </int2:bookmark>
    <int2:bookmark int2:bookmarkName="_Int_uFl1VLfx" int2:invalidationBookmarkName="" int2:hashCode="HN///QfOejgptW" int2:id="stPnR20P">
      <int2:state int2:value="Rejected" int2:type="AugLoop_Acronyms_AcronymsCritique"/>
    </int2:bookmark>
    <int2:bookmark int2:bookmarkName="_Int_tI4KAHpl" int2:invalidationBookmarkName="" int2:hashCode="HbQ1nwduSRZCPr" int2:id="AFzxhw0g">
      <int2:state int2:value="Rejected" int2:type="AugLoop_Text_Critique"/>
    </int2:bookmark>
    <int2:bookmark int2:bookmarkName="_Int_hNbMkVw5" int2:invalidationBookmarkName="" int2:hashCode="3/F0fAeQTne+gJ" int2:id="7azLTOzW">
      <int2:state int2:value="Rejected" int2:type="AugLoop_Text_Critique"/>
    </int2:bookmark>
    <int2:bookmark int2:bookmarkName="_Int_Gd2x5asp" int2:invalidationBookmarkName="" int2:hashCode="HbQ1nwduSRZCPr" int2:id="27ynd7lq">
      <int2:state int2:value="Rejected" int2:type="AugLoop_Text_Critique"/>
    </int2:bookmark>
    <int2:bookmark int2:bookmarkName="_Int_EC731YFn" int2:invalidationBookmarkName="" int2:hashCode="Pg2QJLtMvNYMyG" int2:id="z0b7iq0a">
      <int2:state int2:value="Rejected" int2:type="AugLoop_Text_Critique"/>
    </int2:bookmark>
    <int2:bookmark int2:bookmarkName="_Int_JlXtwo6O" int2:invalidationBookmarkName="" int2:hashCode="8axyUcKGf5LmHc" int2:id="oYZkKu7U">
      <int2:state int2:value="Rejected" int2:type="AugLoop_Text_Critique"/>
    </int2:bookmark>
    <int2:bookmark int2:bookmarkName="_Int_Na47J11s" int2:invalidationBookmarkName="" int2:hashCode="ReDa3Y5Ymj70ss" int2:id="9M0INNNR">
      <int2:state int2:value="Rejected" int2:type="AugLoop_Text_Critique"/>
    </int2:bookmark>
    <int2:bookmark int2:bookmarkName="_Int_l0AsxOHb" int2:invalidationBookmarkName="" int2:hashCode="mZ+SjT9mRbbOkH" int2:id="HQSoo3nf">
      <int2:state int2:value="Rejected" int2:type="AugLoop_Text_Critique"/>
    </int2:bookmark>
    <int2:bookmark int2:bookmarkName="_Int_44cxJpaO" int2:invalidationBookmarkName="" int2:hashCode="94gGADSKCRpD4q" int2:id="cDDlR0wE">
      <int2:state int2:value="Rejected" int2:type="AugLoop_Text_Critique"/>
    </int2:bookmark>
    <int2:bookmark int2:bookmarkName="_Int_TGfDduc3" int2:invalidationBookmarkName="" int2:hashCode="h3E4ZYKpRcovaI" int2:id="n6xfVSU8">
      <int2:state int2:value="Rejected" int2:type="AugLoop_Text_Critique"/>
    </int2:bookmark>
    <int2:bookmark int2:bookmarkName="_Int_3ZI94FT8" int2:invalidationBookmarkName="" int2:hashCode="94gGADSKCRpD4q" int2:id="IKTsd4u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AAE71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58D3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043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684B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447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A81B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DAAF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4857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F8BD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FA3B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00667"/>
    <w:multiLevelType w:val="hybridMultilevel"/>
    <w:tmpl w:val="A0C064D6"/>
    <w:lvl w:ilvl="0" w:tplc="E5FCBC3A">
      <w:start w:val="1"/>
      <w:numFmt w:val="decimal"/>
      <w:pStyle w:val="EcorysTableNumberedBullet"/>
      <w:lvlText w:val="%1."/>
      <w:lvlJc w:val="left"/>
      <w:pPr>
        <w:ind w:left="360" w:hanging="360"/>
      </w:pPr>
      <w:rPr>
        <w:rFonts w:hint="default"/>
        <w:b/>
        <w:i w:val="0"/>
        <w:color w:val="404040" w:themeColor="text1" w:themeTint="BF"/>
      </w:rPr>
    </w:lvl>
    <w:lvl w:ilvl="1" w:tplc="08090019" w:tentative="1">
      <w:start w:val="1"/>
      <w:numFmt w:val="lowerLetter"/>
      <w:lvlText w:val="%2."/>
      <w:lvlJc w:val="left"/>
      <w:pPr>
        <w:ind w:left="2037" w:hanging="360"/>
      </w:pPr>
    </w:lvl>
    <w:lvl w:ilvl="2" w:tplc="0809001B" w:tentative="1">
      <w:start w:val="1"/>
      <w:numFmt w:val="lowerRoman"/>
      <w:lvlText w:val="%3."/>
      <w:lvlJc w:val="right"/>
      <w:pPr>
        <w:ind w:left="2757" w:hanging="180"/>
      </w:pPr>
    </w:lvl>
    <w:lvl w:ilvl="3" w:tplc="0809000F" w:tentative="1">
      <w:start w:val="1"/>
      <w:numFmt w:val="decimal"/>
      <w:lvlText w:val="%4."/>
      <w:lvlJc w:val="left"/>
      <w:pPr>
        <w:ind w:left="3477" w:hanging="360"/>
      </w:pPr>
    </w:lvl>
    <w:lvl w:ilvl="4" w:tplc="08090019" w:tentative="1">
      <w:start w:val="1"/>
      <w:numFmt w:val="lowerLetter"/>
      <w:lvlText w:val="%5."/>
      <w:lvlJc w:val="left"/>
      <w:pPr>
        <w:ind w:left="4197" w:hanging="360"/>
      </w:pPr>
    </w:lvl>
    <w:lvl w:ilvl="5" w:tplc="0809001B" w:tentative="1">
      <w:start w:val="1"/>
      <w:numFmt w:val="lowerRoman"/>
      <w:lvlText w:val="%6."/>
      <w:lvlJc w:val="right"/>
      <w:pPr>
        <w:ind w:left="4917" w:hanging="180"/>
      </w:pPr>
    </w:lvl>
    <w:lvl w:ilvl="6" w:tplc="0809000F" w:tentative="1">
      <w:start w:val="1"/>
      <w:numFmt w:val="decimal"/>
      <w:lvlText w:val="%7."/>
      <w:lvlJc w:val="left"/>
      <w:pPr>
        <w:ind w:left="5637" w:hanging="360"/>
      </w:pPr>
    </w:lvl>
    <w:lvl w:ilvl="7" w:tplc="08090019" w:tentative="1">
      <w:start w:val="1"/>
      <w:numFmt w:val="lowerLetter"/>
      <w:lvlText w:val="%8."/>
      <w:lvlJc w:val="left"/>
      <w:pPr>
        <w:ind w:left="6357" w:hanging="360"/>
      </w:pPr>
    </w:lvl>
    <w:lvl w:ilvl="8" w:tplc="0809001B" w:tentative="1">
      <w:start w:val="1"/>
      <w:numFmt w:val="lowerRoman"/>
      <w:lvlText w:val="%9."/>
      <w:lvlJc w:val="right"/>
      <w:pPr>
        <w:ind w:left="7077" w:hanging="180"/>
      </w:pPr>
    </w:lvl>
  </w:abstractNum>
  <w:abstractNum w:abstractNumId="11" w15:restartNumberingAfterBreak="0">
    <w:nsid w:val="18B93662"/>
    <w:multiLevelType w:val="multilevel"/>
    <w:tmpl w:val="AED6C512"/>
    <w:lvl w:ilvl="0">
      <w:start w:val="1"/>
      <w:numFmt w:val="decimal"/>
      <w:pStyle w:val="Heading1"/>
      <w:lvlText w:val="%1.0"/>
      <w:lvlJc w:val="left"/>
      <w:pPr>
        <w:tabs>
          <w:tab w:val="num" w:pos="1134"/>
        </w:tabs>
        <w:ind w:left="1134" w:hanging="1134"/>
      </w:pPr>
      <w:rPr>
        <w:rFonts w:hint="default"/>
      </w:rPr>
    </w:lvl>
    <w:lvl w:ilvl="1">
      <w:start w:val="1"/>
      <w:numFmt w:val="decimal"/>
      <w:pStyle w:val="EcorysSectionLevel02"/>
      <w:lvlText w:val="%1.%2"/>
      <w:lvlJc w:val="left"/>
      <w:pPr>
        <w:tabs>
          <w:tab w:val="num" w:pos="1134"/>
        </w:tabs>
        <w:ind w:left="1134" w:hanging="1134"/>
      </w:pPr>
      <w:rPr>
        <w:rFonts w:hint="default"/>
      </w:rPr>
    </w:lvl>
    <w:lvl w:ilvl="2">
      <w:start w:val="1"/>
      <w:numFmt w:val="decimal"/>
      <w:pStyle w:val="EcorysSectionLevel03"/>
      <w:lvlText w:val="%1.%2.%3"/>
      <w:lvlJc w:val="left"/>
      <w:pPr>
        <w:tabs>
          <w:tab w:val="num" w:pos="1134"/>
        </w:tabs>
        <w:ind w:left="1134" w:hanging="1134"/>
      </w:pPr>
      <w:rPr>
        <w:rFonts w:hint="default"/>
      </w:rPr>
    </w:lvl>
    <w:lvl w:ilvl="3">
      <w:start w:val="1"/>
      <w:numFmt w:val="decimal"/>
      <w:pStyle w:val="EcorysSectionLevel04"/>
      <w:lvlText w:val="%1.%2.%3.%4"/>
      <w:lvlJc w:val="left"/>
      <w:pPr>
        <w:tabs>
          <w:tab w:val="num" w:pos="1134"/>
        </w:tabs>
        <w:ind w:left="1134" w:hanging="1134"/>
      </w:pPr>
      <w:rPr>
        <w:rFonts w:hint="default"/>
      </w:rPr>
    </w:lvl>
    <w:lvl w:ilvl="4">
      <w:start w:val="1"/>
      <w:numFmt w:val="lowerLetter"/>
      <w:lvlText w:val="%5."/>
      <w:lvlJc w:val="left"/>
      <w:pPr>
        <w:tabs>
          <w:tab w:val="num" w:pos="720"/>
        </w:tabs>
        <w:ind w:left="1134" w:hanging="1134"/>
      </w:pPr>
      <w:rPr>
        <w:rFonts w:hint="default"/>
      </w:rPr>
    </w:lvl>
    <w:lvl w:ilvl="5">
      <w:start w:val="1"/>
      <w:numFmt w:val="lowerRoman"/>
      <w:lvlText w:val="%6."/>
      <w:lvlJc w:val="right"/>
      <w:pPr>
        <w:tabs>
          <w:tab w:val="num" w:pos="720"/>
        </w:tabs>
        <w:ind w:left="1134" w:hanging="1134"/>
      </w:pPr>
      <w:rPr>
        <w:rFonts w:hint="default"/>
      </w:rPr>
    </w:lvl>
    <w:lvl w:ilvl="6">
      <w:start w:val="1"/>
      <w:numFmt w:val="decimal"/>
      <w:lvlText w:val="%7."/>
      <w:lvlJc w:val="left"/>
      <w:pPr>
        <w:tabs>
          <w:tab w:val="num" w:pos="720"/>
        </w:tabs>
        <w:ind w:left="1134" w:hanging="1134"/>
      </w:pPr>
      <w:rPr>
        <w:rFonts w:hint="default"/>
      </w:rPr>
    </w:lvl>
    <w:lvl w:ilvl="7">
      <w:start w:val="1"/>
      <w:numFmt w:val="lowerLetter"/>
      <w:lvlText w:val="%8."/>
      <w:lvlJc w:val="left"/>
      <w:pPr>
        <w:tabs>
          <w:tab w:val="num" w:pos="720"/>
        </w:tabs>
        <w:ind w:left="1134" w:hanging="1134"/>
      </w:pPr>
      <w:rPr>
        <w:rFonts w:hint="default"/>
      </w:rPr>
    </w:lvl>
    <w:lvl w:ilvl="8">
      <w:start w:val="1"/>
      <w:numFmt w:val="lowerRoman"/>
      <w:lvlText w:val="%9."/>
      <w:lvlJc w:val="right"/>
      <w:pPr>
        <w:tabs>
          <w:tab w:val="num" w:pos="720"/>
        </w:tabs>
        <w:ind w:left="1134" w:hanging="1134"/>
      </w:pPr>
      <w:rPr>
        <w:rFonts w:hint="default"/>
      </w:rPr>
    </w:lvl>
  </w:abstractNum>
  <w:abstractNum w:abstractNumId="12" w15:restartNumberingAfterBreak="0">
    <w:nsid w:val="18BC15BD"/>
    <w:multiLevelType w:val="multilevel"/>
    <w:tmpl w:val="861C47AC"/>
    <w:lvl w:ilvl="0">
      <w:start w:val="1"/>
      <w:numFmt w:val="decimal"/>
      <w:lvlText w:val="Figure: %1.1"/>
      <w:lvlJc w:val="left"/>
      <w:pPr>
        <w:tabs>
          <w:tab w:val="num" w:pos="737"/>
        </w:tabs>
        <w:ind w:left="1134" w:hanging="1134"/>
      </w:pPr>
      <w:rPr>
        <w:rFonts w:hint="default"/>
      </w:rPr>
    </w:lvl>
    <w:lvl w:ilvl="1">
      <w:start w:val="2"/>
      <w:numFmt w:val="decimal"/>
      <w:lvlText w:val="Figure: %1.%2"/>
      <w:lvlJc w:val="left"/>
      <w:pPr>
        <w:ind w:left="1134" w:hanging="113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B0221A"/>
    <w:multiLevelType w:val="multilevel"/>
    <w:tmpl w:val="76064766"/>
    <w:styleLink w:val="EcorysSectionLevels"/>
    <w:lvl w:ilvl="0">
      <w:start w:val="1"/>
      <w:numFmt w:val="decimal"/>
      <w:lvlText w:val="%1.0"/>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B435D3"/>
    <w:multiLevelType w:val="multilevel"/>
    <w:tmpl w:val="0809001D"/>
    <w:styleLink w:val="EcorysFigureCaption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DF5DCE"/>
    <w:multiLevelType w:val="multilevel"/>
    <w:tmpl w:val="F5043052"/>
    <w:lvl w:ilvl="0">
      <w:start w:val="1"/>
      <w:numFmt w:val="decimal"/>
      <w:pStyle w:val="EcorysNumberedBullet01"/>
      <w:lvlText w:val="%1."/>
      <w:lvlJc w:val="left"/>
      <w:pPr>
        <w:ind w:left="1134" w:hanging="283"/>
      </w:pPr>
      <w:rPr>
        <w:rFonts w:ascii="Montserrat" w:hAnsi="Montserrat" w:hint="default"/>
        <w:b/>
        <w:i w:val="0"/>
        <w:color w:val="404040" w:themeColor="text1" w:themeTint="BF"/>
      </w:rPr>
    </w:lvl>
    <w:lvl w:ilvl="1">
      <w:start w:val="1"/>
      <w:numFmt w:val="lowerLetter"/>
      <w:pStyle w:val="EcorysNumberedBullet02"/>
      <w:lvlText w:val="%2."/>
      <w:lvlJc w:val="left"/>
      <w:pPr>
        <w:ind w:left="1418" w:hanging="284"/>
      </w:pPr>
      <w:rPr>
        <w:rFonts w:ascii="Montserrat" w:hAnsi="Montserrat" w:hint="default"/>
        <w:b/>
        <w:i w:val="0"/>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362F70AB"/>
    <w:multiLevelType w:val="hybridMultilevel"/>
    <w:tmpl w:val="D2160BC8"/>
    <w:lvl w:ilvl="0" w:tplc="5D52AB6C">
      <w:start w:val="1"/>
      <w:numFmt w:val="bullet"/>
      <w:lvlText w:val=""/>
      <w:lvlJc w:val="left"/>
      <w:pPr>
        <w:ind w:left="1289" w:hanging="360"/>
      </w:pPr>
      <w:rPr>
        <w:rFonts w:ascii="Wingdings" w:hAnsi="Wingdings" w:hint="default"/>
        <w:color w:val="404040" w:themeColor="text1" w:themeTint="BF"/>
      </w:rPr>
    </w:lvl>
    <w:lvl w:ilvl="1" w:tplc="08090003" w:tentative="1">
      <w:start w:val="1"/>
      <w:numFmt w:val="bullet"/>
      <w:lvlText w:val="o"/>
      <w:lvlJc w:val="left"/>
      <w:pPr>
        <w:ind w:left="2009" w:hanging="360"/>
      </w:pPr>
      <w:rPr>
        <w:rFonts w:ascii="Courier New" w:hAnsi="Courier New" w:cs="Courier New" w:hint="default"/>
      </w:rPr>
    </w:lvl>
    <w:lvl w:ilvl="2" w:tplc="08090005" w:tentative="1">
      <w:start w:val="1"/>
      <w:numFmt w:val="bullet"/>
      <w:lvlText w:val=""/>
      <w:lvlJc w:val="left"/>
      <w:pPr>
        <w:ind w:left="2729" w:hanging="360"/>
      </w:pPr>
      <w:rPr>
        <w:rFonts w:ascii="Wingdings" w:hAnsi="Wingdings" w:hint="default"/>
      </w:rPr>
    </w:lvl>
    <w:lvl w:ilvl="3" w:tplc="08090001" w:tentative="1">
      <w:start w:val="1"/>
      <w:numFmt w:val="bullet"/>
      <w:lvlText w:val=""/>
      <w:lvlJc w:val="left"/>
      <w:pPr>
        <w:ind w:left="3449" w:hanging="360"/>
      </w:pPr>
      <w:rPr>
        <w:rFonts w:ascii="Symbol" w:hAnsi="Symbol" w:hint="default"/>
      </w:rPr>
    </w:lvl>
    <w:lvl w:ilvl="4" w:tplc="08090003" w:tentative="1">
      <w:start w:val="1"/>
      <w:numFmt w:val="bullet"/>
      <w:lvlText w:val="o"/>
      <w:lvlJc w:val="left"/>
      <w:pPr>
        <w:ind w:left="4169" w:hanging="360"/>
      </w:pPr>
      <w:rPr>
        <w:rFonts w:ascii="Courier New" w:hAnsi="Courier New" w:cs="Courier New" w:hint="default"/>
      </w:rPr>
    </w:lvl>
    <w:lvl w:ilvl="5" w:tplc="08090005" w:tentative="1">
      <w:start w:val="1"/>
      <w:numFmt w:val="bullet"/>
      <w:lvlText w:val=""/>
      <w:lvlJc w:val="left"/>
      <w:pPr>
        <w:ind w:left="4889" w:hanging="360"/>
      </w:pPr>
      <w:rPr>
        <w:rFonts w:ascii="Wingdings" w:hAnsi="Wingdings" w:hint="default"/>
      </w:rPr>
    </w:lvl>
    <w:lvl w:ilvl="6" w:tplc="08090001" w:tentative="1">
      <w:start w:val="1"/>
      <w:numFmt w:val="bullet"/>
      <w:lvlText w:val=""/>
      <w:lvlJc w:val="left"/>
      <w:pPr>
        <w:ind w:left="5609" w:hanging="360"/>
      </w:pPr>
      <w:rPr>
        <w:rFonts w:ascii="Symbol" w:hAnsi="Symbol" w:hint="default"/>
      </w:rPr>
    </w:lvl>
    <w:lvl w:ilvl="7" w:tplc="08090003" w:tentative="1">
      <w:start w:val="1"/>
      <w:numFmt w:val="bullet"/>
      <w:lvlText w:val="o"/>
      <w:lvlJc w:val="left"/>
      <w:pPr>
        <w:ind w:left="6329" w:hanging="360"/>
      </w:pPr>
      <w:rPr>
        <w:rFonts w:ascii="Courier New" w:hAnsi="Courier New" w:cs="Courier New" w:hint="default"/>
      </w:rPr>
    </w:lvl>
    <w:lvl w:ilvl="8" w:tplc="08090005" w:tentative="1">
      <w:start w:val="1"/>
      <w:numFmt w:val="bullet"/>
      <w:lvlText w:val=""/>
      <w:lvlJc w:val="left"/>
      <w:pPr>
        <w:ind w:left="7049" w:hanging="360"/>
      </w:pPr>
      <w:rPr>
        <w:rFonts w:ascii="Wingdings" w:hAnsi="Wingdings" w:hint="default"/>
      </w:rPr>
    </w:lvl>
  </w:abstractNum>
  <w:abstractNum w:abstractNumId="17" w15:restartNumberingAfterBreak="0">
    <w:nsid w:val="37557CD3"/>
    <w:multiLevelType w:val="hybridMultilevel"/>
    <w:tmpl w:val="18860D6A"/>
    <w:lvl w:ilvl="0" w:tplc="EC2278A8">
      <w:start w:val="1"/>
      <w:numFmt w:val="bullet"/>
      <w:lvlText w:val="•"/>
      <w:lvlJc w:val="left"/>
      <w:pPr>
        <w:tabs>
          <w:tab w:val="num" w:pos="720"/>
        </w:tabs>
        <w:ind w:left="720" w:hanging="360"/>
      </w:pPr>
      <w:rPr>
        <w:rFonts w:ascii="Arial" w:hAnsi="Arial" w:hint="default"/>
      </w:rPr>
    </w:lvl>
    <w:lvl w:ilvl="1" w:tplc="21D8E622">
      <w:start w:val="1"/>
      <w:numFmt w:val="bullet"/>
      <w:lvlText w:val="•"/>
      <w:lvlJc w:val="left"/>
      <w:pPr>
        <w:tabs>
          <w:tab w:val="num" w:pos="1440"/>
        </w:tabs>
        <w:ind w:left="1440" w:hanging="360"/>
      </w:pPr>
      <w:rPr>
        <w:rFonts w:ascii="Arial" w:hAnsi="Arial" w:hint="default"/>
      </w:rPr>
    </w:lvl>
    <w:lvl w:ilvl="2" w:tplc="34F636A4" w:tentative="1">
      <w:start w:val="1"/>
      <w:numFmt w:val="bullet"/>
      <w:lvlText w:val="•"/>
      <w:lvlJc w:val="left"/>
      <w:pPr>
        <w:tabs>
          <w:tab w:val="num" w:pos="2160"/>
        </w:tabs>
        <w:ind w:left="2160" w:hanging="360"/>
      </w:pPr>
      <w:rPr>
        <w:rFonts w:ascii="Arial" w:hAnsi="Arial" w:hint="default"/>
      </w:rPr>
    </w:lvl>
    <w:lvl w:ilvl="3" w:tplc="AC0A65AA" w:tentative="1">
      <w:start w:val="1"/>
      <w:numFmt w:val="bullet"/>
      <w:lvlText w:val="•"/>
      <w:lvlJc w:val="left"/>
      <w:pPr>
        <w:tabs>
          <w:tab w:val="num" w:pos="2880"/>
        </w:tabs>
        <w:ind w:left="2880" w:hanging="360"/>
      </w:pPr>
      <w:rPr>
        <w:rFonts w:ascii="Arial" w:hAnsi="Arial" w:hint="default"/>
      </w:rPr>
    </w:lvl>
    <w:lvl w:ilvl="4" w:tplc="8FB451EA" w:tentative="1">
      <w:start w:val="1"/>
      <w:numFmt w:val="bullet"/>
      <w:lvlText w:val="•"/>
      <w:lvlJc w:val="left"/>
      <w:pPr>
        <w:tabs>
          <w:tab w:val="num" w:pos="3600"/>
        </w:tabs>
        <w:ind w:left="3600" w:hanging="360"/>
      </w:pPr>
      <w:rPr>
        <w:rFonts w:ascii="Arial" w:hAnsi="Arial" w:hint="default"/>
      </w:rPr>
    </w:lvl>
    <w:lvl w:ilvl="5" w:tplc="F58CBFD0" w:tentative="1">
      <w:start w:val="1"/>
      <w:numFmt w:val="bullet"/>
      <w:lvlText w:val="•"/>
      <w:lvlJc w:val="left"/>
      <w:pPr>
        <w:tabs>
          <w:tab w:val="num" w:pos="4320"/>
        </w:tabs>
        <w:ind w:left="4320" w:hanging="360"/>
      </w:pPr>
      <w:rPr>
        <w:rFonts w:ascii="Arial" w:hAnsi="Arial" w:hint="default"/>
      </w:rPr>
    </w:lvl>
    <w:lvl w:ilvl="6" w:tplc="402C6934" w:tentative="1">
      <w:start w:val="1"/>
      <w:numFmt w:val="bullet"/>
      <w:lvlText w:val="•"/>
      <w:lvlJc w:val="left"/>
      <w:pPr>
        <w:tabs>
          <w:tab w:val="num" w:pos="5040"/>
        </w:tabs>
        <w:ind w:left="5040" w:hanging="360"/>
      </w:pPr>
      <w:rPr>
        <w:rFonts w:ascii="Arial" w:hAnsi="Arial" w:hint="default"/>
      </w:rPr>
    </w:lvl>
    <w:lvl w:ilvl="7" w:tplc="76C850CE" w:tentative="1">
      <w:start w:val="1"/>
      <w:numFmt w:val="bullet"/>
      <w:lvlText w:val="•"/>
      <w:lvlJc w:val="left"/>
      <w:pPr>
        <w:tabs>
          <w:tab w:val="num" w:pos="5760"/>
        </w:tabs>
        <w:ind w:left="5760" w:hanging="360"/>
      </w:pPr>
      <w:rPr>
        <w:rFonts w:ascii="Arial" w:hAnsi="Arial" w:hint="default"/>
      </w:rPr>
    </w:lvl>
    <w:lvl w:ilvl="8" w:tplc="769A4C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921C05"/>
    <w:multiLevelType w:val="hybridMultilevel"/>
    <w:tmpl w:val="729072FC"/>
    <w:lvl w:ilvl="0" w:tplc="5BB6CD12">
      <w:start w:val="1"/>
      <w:numFmt w:val="bullet"/>
      <w:lvlText w:val=""/>
      <w:lvlJc w:val="left"/>
      <w:pPr>
        <w:ind w:left="1280" w:hanging="360"/>
      </w:pPr>
      <w:rPr>
        <w:rFonts w:ascii="Symbol" w:hAnsi="Symbol"/>
      </w:rPr>
    </w:lvl>
    <w:lvl w:ilvl="1" w:tplc="A20AC66A">
      <w:start w:val="1"/>
      <w:numFmt w:val="bullet"/>
      <w:lvlText w:val=""/>
      <w:lvlJc w:val="left"/>
      <w:pPr>
        <w:ind w:left="1560" w:hanging="360"/>
      </w:pPr>
      <w:rPr>
        <w:rFonts w:ascii="Symbol" w:hAnsi="Symbol"/>
      </w:rPr>
    </w:lvl>
    <w:lvl w:ilvl="2" w:tplc="5CD84F9A">
      <w:start w:val="1"/>
      <w:numFmt w:val="bullet"/>
      <w:lvlText w:val=""/>
      <w:lvlJc w:val="left"/>
      <w:pPr>
        <w:ind w:left="1280" w:hanging="360"/>
      </w:pPr>
      <w:rPr>
        <w:rFonts w:ascii="Symbol" w:hAnsi="Symbol"/>
      </w:rPr>
    </w:lvl>
    <w:lvl w:ilvl="3" w:tplc="4EC679AC">
      <w:start w:val="1"/>
      <w:numFmt w:val="bullet"/>
      <w:lvlText w:val=""/>
      <w:lvlJc w:val="left"/>
      <w:pPr>
        <w:ind w:left="1280" w:hanging="360"/>
      </w:pPr>
      <w:rPr>
        <w:rFonts w:ascii="Symbol" w:hAnsi="Symbol"/>
      </w:rPr>
    </w:lvl>
    <w:lvl w:ilvl="4" w:tplc="5B02B2B6">
      <w:start w:val="1"/>
      <w:numFmt w:val="bullet"/>
      <w:lvlText w:val=""/>
      <w:lvlJc w:val="left"/>
      <w:pPr>
        <w:ind w:left="1280" w:hanging="360"/>
      </w:pPr>
      <w:rPr>
        <w:rFonts w:ascii="Symbol" w:hAnsi="Symbol"/>
      </w:rPr>
    </w:lvl>
    <w:lvl w:ilvl="5" w:tplc="6C963E56">
      <w:start w:val="1"/>
      <w:numFmt w:val="bullet"/>
      <w:lvlText w:val=""/>
      <w:lvlJc w:val="left"/>
      <w:pPr>
        <w:ind w:left="1280" w:hanging="360"/>
      </w:pPr>
      <w:rPr>
        <w:rFonts w:ascii="Symbol" w:hAnsi="Symbol"/>
      </w:rPr>
    </w:lvl>
    <w:lvl w:ilvl="6" w:tplc="F46EAB32">
      <w:start w:val="1"/>
      <w:numFmt w:val="bullet"/>
      <w:lvlText w:val=""/>
      <w:lvlJc w:val="left"/>
      <w:pPr>
        <w:ind w:left="1280" w:hanging="360"/>
      </w:pPr>
      <w:rPr>
        <w:rFonts w:ascii="Symbol" w:hAnsi="Symbol"/>
      </w:rPr>
    </w:lvl>
    <w:lvl w:ilvl="7" w:tplc="20920042">
      <w:start w:val="1"/>
      <w:numFmt w:val="bullet"/>
      <w:lvlText w:val=""/>
      <w:lvlJc w:val="left"/>
      <w:pPr>
        <w:ind w:left="1280" w:hanging="360"/>
      </w:pPr>
      <w:rPr>
        <w:rFonts w:ascii="Symbol" w:hAnsi="Symbol"/>
      </w:rPr>
    </w:lvl>
    <w:lvl w:ilvl="8" w:tplc="665C41D2">
      <w:start w:val="1"/>
      <w:numFmt w:val="bullet"/>
      <w:lvlText w:val=""/>
      <w:lvlJc w:val="left"/>
      <w:pPr>
        <w:ind w:left="1280" w:hanging="360"/>
      </w:pPr>
      <w:rPr>
        <w:rFonts w:ascii="Symbol" w:hAnsi="Symbol"/>
      </w:rPr>
    </w:lvl>
  </w:abstractNum>
  <w:abstractNum w:abstractNumId="19" w15:restartNumberingAfterBreak="0">
    <w:nsid w:val="4BDB625B"/>
    <w:multiLevelType w:val="hybridMultilevel"/>
    <w:tmpl w:val="33FCC978"/>
    <w:lvl w:ilvl="0" w:tplc="8AC67676">
      <w:numFmt w:val="bullet"/>
      <w:lvlText w:val=""/>
      <w:lvlJc w:val="left"/>
      <w:pPr>
        <w:ind w:left="720" w:hanging="360"/>
      </w:pPr>
      <w:rPr>
        <w:rFonts w:ascii="Symbol" w:eastAsia="Symbol" w:hAnsi="Symbol" w:cs="Symbol" w:hint="default"/>
        <w:color w:val="AD4197"/>
        <w:w w:val="100"/>
        <w:sz w:val="21"/>
        <w:szCs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F2358"/>
    <w:multiLevelType w:val="multilevel"/>
    <w:tmpl w:val="0CCA245A"/>
    <w:lvl w:ilvl="0">
      <w:start w:val="1"/>
      <w:numFmt w:val="decimal"/>
      <w:lvlText w:val="%1."/>
      <w:lvlJc w:val="left"/>
      <w:pPr>
        <w:ind w:left="1134" w:hanging="283"/>
      </w:pPr>
      <w:rPr>
        <w:rFonts w:ascii="Montserrat" w:hAnsi="Montserrat" w:hint="default"/>
        <w:b/>
        <w:i w:val="0"/>
        <w:color w:val="404040" w:themeColor="text1" w:themeTint="BF"/>
      </w:rPr>
    </w:lvl>
    <w:lvl w:ilvl="1">
      <w:start w:val="1"/>
      <w:numFmt w:val="lowerLetter"/>
      <w:lvlText w:val="%2."/>
      <w:lvlJc w:val="left"/>
      <w:pPr>
        <w:ind w:left="1418" w:hanging="284"/>
      </w:pPr>
      <w:rPr>
        <w:rFonts w:ascii="Montserrat" w:hAnsi="Montserrat" w:hint="default"/>
        <w:b/>
        <w:i w:val="0"/>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59A55C63"/>
    <w:multiLevelType w:val="hybridMultilevel"/>
    <w:tmpl w:val="0BB8F294"/>
    <w:lvl w:ilvl="0" w:tplc="E70E99BE">
      <w:start w:val="1"/>
      <w:numFmt w:val="bullet"/>
      <w:lvlText w:val=""/>
      <w:lvlJc w:val="left"/>
      <w:pPr>
        <w:ind w:left="1280" w:hanging="360"/>
      </w:pPr>
      <w:rPr>
        <w:rFonts w:ascii="Symbol" w:hAnsi="Symbol"/>
      </w:rPr>
    </w:lvl>
    <w:lvl w:ilvl="1" w:tplc="D20EDCE8">
      <w:start w:val="1"/>
      <w:numFmt w:val="bullet"/>
      <w:lvlText w:val=""/>
      <w:lvlJc w:val="left"/>
      <w:pPr>
        <w:ind w:left="840" w:hanging="360"/>
      </w:pPr>
      <w:rPr>
        <w:rFonts w:ascii="Symbol" w:hAnsi="Symbol"/>
      </w:rPr>
    </w:lvl>
    <w:lvl w:ilvl="2" w:tplc="D8280708">
      <w:start w:val="1"/>
      <w:numFmt w:val="bullet"/>
      <w:lvlText w:val=""/>
      <w:lvlJc w:val="left"/>
      <w:pPr>
        <w:ind w:left="1280" w:hanging="360"/>
      </w:pPr>
      <w:rPr>
        <w:rFonts w:ascii="Symbol" w:hAnsi="Symbol"/>
      </w:rPr>
    </w:lvl>
    <w:lvl w:ilvl="3" w:tplc="02A00A48">
      <w:start w:val="1"/>
      <w:numFmt w:val="bullet"/>
      <w:lvlText w:val=""/>
      <w:lvlJc w:val="left"/>
      <w:pPr>
        <w:ind w:left="1280" w:hanging="360"/>
      </w:pPr>
      <w:rPr>
        <w:rFonts w:ascii="Symbol" w:hAnsi="Symbol"/>
      </w:rPr>
    </w:lvl>
    <w:lvl w:ilvl="4" w:tplc="A67090AE">
      <w:start w:val="1"/>
      <w:numFmt w:val="bullet"/>
      <w:lvlText w:val=""/>
      <w:lvlJc w:val="left"/>
      <w:pPr>
        <w:ind w:left="1280" w:hanging="360"/>
      </w:pPr>
      <w:rPr>
        <w:rFonts w:ascii="Symbol" w:hAnsi="Symbol"/>
      </w:rPr>
    </w:lvl>
    <w:lvl w:ilvl="5" w:tplc="E3F48DB4">
      <w:start w:val="1"/>
      <w:numFmt w:val="bullet"/>
      <w:lvlText w:val=""/>
      <w:lvlJc w:val="left"/>
      <w:pPr>
        <w:ind w:left="1280" w:hanging="360"/>
      </w:pPr>
      <w:rPr>
        <w:rFonts w:ascii="Symbol" w:hAnsi="Symbol"/>
      </w:rPr>
    </w:lvl>
    <w:lvl w:ilvl="6" w:tplc="ADE6EF52">
      <w:start w:val="1"/>
      <w:numFmt w:val="bullet"/>
      <w:lvlText w:val=""/>
      <w:lvlJc w:val="left"/>
      <w:pPr>
        <w:ind w:left="1280" w:hanging="360"/>
      </w:pPr>
      <w:rPr>
        <w:rFonts w:ascii="Symbol" w:hAnsi="Symbol"/>
      </w:rPr>
    </w:lvl>
    <w:lvl w:ilvl="7" w:tplc="C72ED602">
      <w:start w:val="1"/>
      <w:numFmt w:val="bullet"/>
      <w:lvlText w:val=""/>
      <w:lvlJc w:val="left"/>
      <w:pPr>
        <w:ind w:left="1280" w:hanging="360"/>
      </w:pPr>
      <w:rPr>
        <w:rFonts w:ascii="Symbol" w:hAnsi="Symbol"/>
      </w:rPr>
    </w:lvl>
    <w:lvl w:ilvl="8" w:tplc="AC2484E2">
      <w:start w:val="1"/>
      <w:numFmt w:val="bullet"/>
      <w:lvlText w:val=""/>
      <w:lvlJc w:val="left"/>
      <w:pPr>
        <w:ind w:left="1280" w:hanging="360"/>
      </w:pPr>
      <w:rPr>
        <w:rFonts w:ascii="Symbol" w:hAnsi="Symbol"/>
      </w:rPr>
    </w:lvl>
  </w:abstractNum>
  <w:abstractNum w:abstractNumId="22" w15:restartNumberingAfterBreak="0">
    <w:nsid w:val="59D21A03"/>
    <w:multiLevelType w:val="multilevel"/>
    <w:tmpl w:val="D3F89266"/>
    <w:lvl w:ilvl="0">
      <w:start w:val="1"/>
      <w:numFmt w:val="bullet"/>
      <w:pStyle w:val="EcorysBullet01"/>
      <w:lvlText w:val=""/>
      <w:lvlJc w:val="left"/>
      <w:pPr>
        <w:ind w:left="567" w:hanging="283"/>
      </w:pPr>
      <w:rPr>
        <w:rFonts w:ascii="Wingdings 3" w:hAnsi="Wingdings 3" w:hint="default"/>
        <w:color w:val="404040" w:themeColor="text1" w:themeTint="BF"/>
      </w:rPr>
    </w:lvl>
    <w:lvl w:ilvl="1">
      <w:start w:val="1"/>
      <w:numFmt w:val="bullet"/>
      <w:pStyle w:val="EcorysBullet02"/>
      <w:lvlText w:val=""/>
      <w:lvlJc w:val="left"/>
      <w:pPr>
        <w:ind w:left="851" w:hanging="284"/>
      </w:pPr>
      <w:rPr>
        <w:rFonts w:ascii="Wingdings 3" w:hAnsi="Wingdings 3" w:hint="default"/>
      </w:rPr>
    </w:lvl>
    <w:lvl w:ilvl="2">
      <w:start w:val="1"/>
      <w:numFmt w:val="bullet"/>
      <w:pStyle w:val="EcorysBullet03"/>
      <w:lvlText w:val=""/>
      <w:lvlJc w:val="left"/>
      <w:pPr>
        <w:ind w:left="1134" w:hanging="283"/>
      </w:pPr>
      <w:rPr>
        <w:rFonts w:ascii="Wingdings" w:hAnsi="Wingdings" w:hint="default"/>
        <w:sz w:val="18"/>
      </w:rPr>
    </w:lvl>
    <w:lvl w:ilvl="3">
      <w:start w:val="1"/>
      <w:numFmt w:val="bullet"/>
      <w:pStyle w:val="EcorysBullet04"/>
      <w:lvlText w:val=""/>
      <w:lvlJc w:val="left"/>
      <w:pPr>
        <w:ind w:left="1418" w:hanging="284"/>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0850E65"/>
    <w:multiLevelType w:val="multilevel"/>
    <w:tmpl w:val="FC864354"/>
    <w:styleLink w:val="EcorysTableCaptions"/>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0BF5660"/>
    <w:multiLevelType w:val="hybridMultilevel"/>
    <w:tmpl w:val="6D6EAAFC"/>
    <w:lvl w:ilvl="0" w:tplc="911C85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50403C"/>
    <w:multiLevelType w:val="multilevel"/>
    <w:tmpl w:val="E3F61772"/>
    <w:lvl w:ilvl="0">
      <w:start w:val="1"/>
      <w:numFmt w:val="bullet"/>
      <w:lvlText w:val=""/>
      <w:lvlJc w:val="left"/>
      <w:pPr>
        <w:ind w:left="567" w:hanging="283"/>
      </w:pPr>
      <w:rPr>
        <w:rFonts w:ascii="Wingdings 3" w:hAnsi="Wingdings 3" w:hint="default"/>
        <w:color w:val="404040" w:themeColor="text1" w:themeTint="BF"/>
      </w:rPr>
    </w:lvl>
    <w:lvl w:ilvl="1">
      <w:start w:val="1"/>
      <w:numFmt w:val="bullet"/>
      <w:lvlText w:val=""/>
      <w:lvlJc w:val="left"/>
      <w:pPr>
        <w:ind w:left="851" w:hanging="284"/>
      </w:pPr>
      <w:rPr>
        <w:rFonts w:ascii="Wingdings 3" w:hAnsi="Wingdings 3"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1F3B1F"/>
    <w:multiLevelType w:val="hybridMultilevel"/>
    <w:tmpl w:val="33443C4A"/>
    <w:lvl w:ilvl="0" w:tplc="B386BA14">
      <w:start w:val="2"/>
      <w:numFmt w:val="bullet"/>
      <w:lvlText w:val="-"/>
      <w:lvlJc w:val="left"/>
      <w:pPr>
        <w:ind w:left="1080" w:hanging="360"/>
      </w:pPr>
      <w:rPr>
        <w:rFonts w:ascii="Open Sans Light" w:eastAsiaTheme="minorHAnsi" w:hAnsi="Open Sans Light" w:cs="Open Sans Light"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C9E4512"/>
    <w:multiLevelType w:val="hybridMultilevel"/>
    <w:tmpl w:val="0550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156749"/>
    <w:multiLevelType w:val="hybridMultilevel"/>
    <w:tmpl w:val="5768AC54"/>
    <w:lvl w:ilvl="0" w:tplc="9A1CA976">
      <w:start w:val="1"/>
      <w:numFmt w:val="bullet"/>
      <w:lvlText w:val="•"/>
      <w:lvlJc w:val="left"/>
      <w:pPr>
        <w:tabs>
          <w:tab w:val="num" w:pos="720"/>
        </w:tabs>
        <w:ind w:left="720" w:hanging="360"/>
      </w:pPr>
      <w:rPr>
        <w:rFonts w:ascii="Arial" w:hAnsi="Arial" w:hint="default"/>
      </w:rPr>
    </w:lvl>
    <w:lvl w:ilvl="1" w:tplc="8188C502">
      <w:start w:val="1"/>
      <w:numFmt w:val="bullet"/>
      <w:lvlText w:val="•"/>
      <w:lvlJc w:val="left"/>
      <w:pPr>
        <w:tabs>
          <w:tab w:val="num" w:pos="1440"/>
        </w:tabs>
        <w:ind w:left="1440" w:hanging="360"/>
      </w:pPr>
      <w:rPr>
        <w:rFonts w:ascii="Arial" w:hAnsi="Arial" w:hint="default"/>
      </w:rPr>
    </w:lvl>
    <w:lvl w:ilvl="2" w:tplc="62527EE0" w:tentative="1">
      <w:start w:val="1"/>
      <w:numFmt w:val="bullet"/>
      <w:lvlText w:val="•"/>
      <w:lvlJc w:val="left"/>
      <w:pPr>
        <w:tabs>
          <w:tab w:val="num" w:pos="2160"/>
        </w:tabs>
        <w:ind w:left="2160" w:hanging="360"/>
      </w:pPr>
      <w:rPr>
        <w:rFonts w:ascii="Arial" w:hAnsi="Arial" w:hint="default"/>
      </w:rPr>
    </w:lvl>
    <w:lvl w:ilvl="3" w:tplc="B51213A2" w:tentative="1">
      <w:start w:val="1"/>
      <w:numFmt w:val="bullet"/>
      <w:lvlText w:val="•"/>
      <w:lvlJc w:val="left"/>
      <w:pPr>
        <w:tabs>
          <w:tab w:val="num" w:pos="2880"/>
        </w:tabs>
        <w:ind w:left="2880" w:hanging="360"/>
      </w:pPr>
      <w:rPr>
        <w:rFonts w:ascii="Arial" w:hAnsi="Arial" w:hint="default"/>
      </w:rPr>
    </w:lvl>
    <w:lvl w:ilvl="4" w:tplc="A7C830B8" w:tentative="1">
      <w:start w:val="1"/>
      <w:numFmt w:val="bullet"/>
      <w:lvlText w:val="•"/>
      <w:lvlJc w:val="left"/>
      <w:pPr>
        <w:tabs>
          <w:tab w:val="num" w:pos="3600"/>
        </w:tabs>
        <w:ind w:left="3600" w:hanging="360"/>
      </w:pPr>
      <w:rPr>
        <w:rFonts w:ascii="Arial" w:hAnsi="Arial" w:hint="default"/>
      </w:rPr>
    </w:lvl>
    <w:lvl w:ilvl="5" w:tplc="5122D95A" w:tentative="1">
      <w:start w:val="1"/>
      <w:numFmt w:val="bullet"/>
      <w:lvlText w:val="•"/>
      <w:lvlJc w:val="left"/>
      <w:pPr>
        <w:tabs>
          <w:tab w:val="num" w:pos="4320"/>
        </w:tabs>
        <w:ind w:left="4320" w:hanging="360"/>
      </w:pPr>
      <w:rPr>
        <w:rFonts w:ascii="Arial" w:hAnsi="Arial" w:hint="default"/>
      </w:rPr>
    </w:lvl>
    <w:lvl w:ilvl="6" w:tplc="0EB8F762" w:tentative="1">
      <w:start w:val="1"/>
      <w:numFmt w:val="bullet"/>
      <w:lvlText w:val="•"/>
      <w:lvlJc w:val="left"/>
      <w:pPr>
        <w:tabs>
          <w:tab w:val="num" w:pos="5040"/>
        </w:tabs>
        <w:ind w:left="5040" w:hanging="360"/>
      </w:pPr>
      <w:rPr>
        <w:rFonts w:ascii="Arial" w:hAnsi="Arial" w:hint="default"/>
      </w:rPr>
    </w:lvl>
    <w:lvl w:ilvl="7" w:tplc="0A22F66A" w:tentative="1">
      <w:start w:val="1"/>
      <w:numFmt w:val="bullet"/>
      <w:lvlText w:val="•"/>
      <w:lvlJc w:val="left"/>
      <w:pPr>
        <w:tabs>
          <w:tab w:val="num" w:pos="5760"/>
        </w:tabs>
        <w:ind w:left="5760" w:hanging="360"/>
      </w:pPr>
      <w:rPr>
        <w:rFonts w:ascii="Arial" w:hAnsi="Arial" w:hint="default"/>
      </w:rPr>
    </w:lvl>
    <w:lvl w:ilvl="8" w:tplc="ED46404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F20AA8"/>
    <w:multiLevelType w:val="multilevel"/>
    <w:tmpl w:val="DD442D0E"/>
    <w:lvl w:ilvl="0">
      <w:start w:val="1"/>
      <w:numFmt w:val="bullet"/>
      <w:pStyle w:val="EcorysTableBullet01"/>
      <w:lvlText w:val=""/>
      <w:lvlJc w:val="left"/>
      <w:pPr>
        <w:ind w:left="1134" w:hanging="283"/>
      </w:pPr>
      <w:rPr>
        <w:rFonts w:ascii="Wingdings 3" w:hAnsi="Wingdings 3" w:hint="default"/>
        <w:color w:val="404040" w:themeColor="text1" w:themeTint="BF"/>
      </w:rPr>
    </w:lvl>
    <w:lvl w:ilvl="1">
      <w:start w:val="1"/>
      <w:numFmt w:val="bullet"/>
      <w:lvlText w:val=""/>
      <w:lvlJc w:val="left"/>
      <w:pPr>
        <w:tabs>
          <w:tab w:val="num" w:pos="1134"/>
        </w:tabs>
        <w:ind w:left="1418" w:hanging="284"/>
      </w:pPr>
      <w:rPr>
        <w:rFonts w:ascii="Wingdings 3" w:hAnsi="Wingdings 3" w:hint="default"/>
      </w:rPr>
    </w:lvl>
    <w:lvl w:ilvl="2">
      <w:start w:val="1"/>
      <w:numFmt w:val="bullet"/>
      <w:lvlText w:val=""/>
      <w:lvlJc w:val="left"/>
      <w:pPr>
        <w:tabs>
          <w:tab w:val="num" w:pos="1418"/>
        </w:tabs>
        <w:ind w:left="1701" w:hanging="283"/>
      </w:pPr>
      <w:rPr>
        <w:rFonts w:ascii="Wingdings" w:hAnsi="Wingdings" w:hint="default"/>
      </w:rPr>
    </w:lvl>
    <w:lvl w:ilvl="3">
      <w:start w:val="1"/>
      <w:numFmt w:val="bullet"/>
      <w:lvlText w:val=""/>
      <w:lvlJc w:val="left"/>
      <w:pPr>
        <w:ind w:left="1985" w:hanging="284"/>
      </w:pPr>
      <w:rPr>
        <w:rFonts w:ascii="Wingdings" w:hAnsi="Wingdings" w:hint="default"/>
      </w:rPr>
    </w:lvl>
    <w:lvl w:ilvl="4">
      <w:start w:val="1"/>
      <w:numFmt w:val="bullet"/>
      <w:lvlText w:val="o"/>
      <w:lvlJc w:val="left"/>
      <w:pPr>
        <w:ind w:left="-2270" w:hanging="283"/>
      </w:pPr>
      <w:rPr>
        <w:rFonts w:ascii="Courier New" w:hAnsi="Courier New" w:cs="Courier New" w:hint="default"/>
      </w:rPr>
    </w:lvl>
    <w:lvl w:ilvl="5">
      <w:start w:val="1"/>
      <w:numFmt w:val="bullet"/>
      <w:lvlText w:val=""/>
      <w:lvlJc w:val="left"/>
      <w:pPr>
        <w:ind w:left="-3121" w:hanging="283"/>
      </w:pPr>
      <w:rPr>
        <w:rFonts w:ascii="Wingdings" w:hAnsi="Wingdings" w:hint="default"/>
      </w:rPr>
    </w:lvl>
    <w:lvl w:ilvl="6">
      <w:start w:val="1"/>
      <w:numFmt w:val="bullet"/>
      <w:lvlText w:val=""/>
      <w:lvlJc w:val="left"/>
      <w:pPr>
        <w:ind w:left="-3972" w:hanging="283"/>
      </w:pPr>
      <w:rPr>
        <w:rFonts w:ascii="Symbol" w:hAnsi="Symbol" w:hint="default"/>
      </w:rPr>
    </w:lvl>
    <w:lvl w:ilvl="7">
      <w:start w:val="1"/>
      <w:numFmt w:val="bullet"/>
      <w:lvlText w:val="o"/>
      <w:lvlJc w:val="left"/>
      <w:pPr>
        <w:ind w:left="-4823" w:hanging="283"/>
      </w:pPr>
      <w:rPr>
        <w:rFonts w:ascii="Courier New" w:hAnsi="Courier New" w:cs="Courier New" w:hint="default"/>
      </w:rPr>
    </w:lvl>
    <w:lvl w:ilvl="8">
      <w:start w:val="1"/>
      <w:numFmt w:val="bullet"/>
      <w:lvlText w:val=""/>
      <w:lvlJc w:val="left"/>
      <w:pPr>
        <w:ind w:left="-5674" w:hanging="283"/>
      </w:pPr>
      <w:rPr>
        <w:rFonts w:ascii="Wingdings" w:hAnsi="Wingdings" w:hint="default"/>
      </w:rPr>
    </w:lvl>
  </w:abstractNum>
  <w:abstractNum w:abstractNumId="30" w15:restartNumberingAfterBreak="0">
    <w:nsid w:val="732652B9"/>
    <w:multiLevelType w:val="hybridMultilevel"/>
    <w:tmpl w:val="995CE95C"/>
    <w:lvl w:ilvl="0" w:tplc="5A26E138">
      <w:start w:val="1"/>
      <w:numFmt w:val="bullet"/>
      <w:lvlText w:val=""/>
      <w:lvlJc w:val="left"/>
      <w:pPr>
        <w:ind w:left="128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50C89"/>
    <w:multiLevelType w:val="hybridMultilevel"/>
    <w:tmpl w:val="4EBC1AD2"/>
    <w:lvl w:ilvl="0" w:tplc="72465B6C">
      <w:start w:val="1"/>
      <w:numFmt w:val="bullet"/>
      <w:lvlText w:val="•"/>
      <w:lvlJc w:val="left"/>
      <w:pPr>
        <w:tabs>
          <w:tab w:val="num" w:pos="720"/>
        </w:tabs>
        <w:ind w:left="720" w:hanging="360"/>
      </w:pPr>
      <w:rPr>
        <w:rFonts w:ascii="Arial" w:hAnsi="Arial" w:hint="default"/>
      </w:rPr>
    </w:lvl>
    <w:lvl w:ilvl="1" w:tplc="D91C813C">
      <w:start w:val="1"/>
      <w:numFmt w:val="bullet"/>
      <w:lvlText w:val="•"/>
      <w:lvlJc w:val="left"/>
      <w:pPr>
        <w:tabs>
          <w:tab w:val="num" w:pos="1440"/>
        </w:tabs>
        <w:ind w:left="1440" w:hanging="360"/>
      </w:pPr>
      <w:rPr>
        <w:rFonts w:ascii="Arial" w:hAnsi="Arial" w:hint="default"/>
      </w:rPr>
    </w:lvl>
    <w:lvl w:ilvl="2" w:tplc="81B22104" w:tentative="1">
      <w:start w:val="1"/>
      <w:numFmt w:val="bullet"/>
      <w:lvlText w:val="•"/>
      <w:lvlJc w:val="left"/>
      <w:pPr>
        <w:tabs>
          <w:tab w:val="num" w:pos="2160"/>
        </w:tabs>
        <w:ind w:left="2160" w:hanging="360"/>
      </w:pPr>
      <w:rPr>
        <w:rFonts w:ascii="Arial" w:hAnsi="Arial" w:hint="default"/>
      </w:rPr>
    </w:lvl>
    <w:lvl w:ilvl="3" w:tplc="19A2D068" w:tentative="1">
      <w:start w:val="1"/>
      <w:numFmt w:val="bullet"/>
      <w:lvlText w:val="•"/>
      <w:lvlJc w:val="left"/>
      <w:pPr>
        <w:tabs>
          <w:tab w:val="num" w:pos="2880"/>
        </w:tabs>
        <w:ind w:left="2880" w:hanging="360"/>
      </w:pPr>
      <w:rPr>
        <w:rFonts w:ascii="Arial" w:hAnsi="Arial" w:hint="default"/>
      </w:rPr>
    </w:lvl>
    <w:lvl w:ilvl="4" w:tplc="E50CBD36" w:tentative="1">
      <w:start w:val="1"/>
      <w:numFmt w:val="bullet"/>
      <w:lvlText w:val="•"/>
      <w:lvlJc w:val="left"/>
      <w:pPr>
        <w:tabs>
          <w:tab w:val="num" w:pos="3600"/>
        </w:tabs>
        <w:ind w:left="3600" w:hanging="360"/>
      </w:pPr>
      <w:rPr>
        <w:rFonts w:ascii="Arial" w:hAnsi="Arial" w:hint="default"/>
      </w:rPr>
    </w:lvl>
    <w:lvl w:ilvl="5" w:tplc="53E00CA8" w:tentative="1">
      <w:start w:val="1"/>
      <w:numFmt w:val="bullet"/>
      <w:lvlText w:val="•"/>
      <w:lvlJc w:val="left"/>
      <w:pPr>
        <w:tabs>
          <w:tab w:val="num" w:pos="4320"/>
        </w:tabs>
        <w:ind w:left="4320" w:hanging="360"/>
      </w:pPr>
      <w:rPr>
        <w:rFonts w:ascii="Arial" w:hAnsi="Arial" w:hint="default"/>
      </w:rPr>
    </w:lvl>
    <w:lvl w:ilvl="6" w:tplc="F2343D00" w:tentative="1">
      <w:start w:val="1"/>
      <w:numFmt w:val="bullet"/>
      <w:lvlText w:val="•"/>
      <w:lvlJc w:val="left"/>
      <w:pPr>
        <w:tabs>
          <w:tab w:val="num" w:pos="5040"/>
        </w:tabs>
        <w:ind w:left="5040" w:hanging="360"/>
      </w:pPr>
      <w:rPr>
        <w:rFonts w:ascii="Arial" w:hAnsi="Arial" w:hint="default"/>
      </w:rPr>
    </w:lvl>
    <w:lvl w:ilvl="7" w:tplc="BA2013A4" w:tentative="1">
      <w:start w:val="1"/>
      <w:numFmt w:val="bullet"/>
      <w:lvlText w:val="•"/>
      <w:lvlJc w:val="left"/>
      <w:pPr>
        <w:tabs>
          <w:tab w:val="num" w:pos="5760"/>
        </w:tabs>
        <w:ind w:left="5760" w:hanging="360"/>
      </w:pPr>
      <w:rPr>
        <w:rFonts w:ascii="Arial" w:hAnsi="Arial" w:hint="default"/>
      </w:rPr>
    </w:lvl>
    <w:lvl w:ilvl="8" w:tplc="BD40D4F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55B7CBC"/>
    <w:multiLevelType w:val="multilevel"/>
    <w:tmpl w:val="E3FAA404"/>
    <w:lvl w:ilvl="0">
      <w:start w:val="1"/>
      <w:numFmt w:val="decimal"/>
      <w:lvlText w:val="Table: %1.1"/>
      <w:lvlJc w:val="left"/>
      <w:pPr>
        <w:tabs>
          <w:tab w:val="num" w:pos="2177"/>
        </w:tabs>
        <w:ind w:left="2744" w:hanging="1304"/>
      </w:pPr>
      <w:rPr>
        <w:rFonts w:hint="default"/>
      </w:rPr>
    </w:lvl>
    <w:lvl w:ilvl="1">
      <w:start w:val="2"/>
      <w:numFmt w:val="decimal"/>
      <w:lvlText w:val="Table: %1.%2"/>
      <w:lvlJc w:val="left"/>
      <w:pPr>
        <w:tabs>
          <w:tab w:val="num" w:pos="2177"/>
        </w:tabs>
        <w:ind w:left="2744" w:hanging="1304"/>
      </w:pPr>
      <w:rPr>
        <w:rFonts w:hint="default"/>
      </w:rPr>
    </w:lvl>
    <w:lvl w:ilvl="2">
      <w:start w:val="1"/>
      <w:numFmt w:val="none"/>
      <w:lvlText w:val=""/>
      <w:lvlJc w:val="right"/>
      <w:pPr>
        <w:tabs>
          <w:tab w:val="num" w:pos="2744"/>
        </w:tabs>
        <w:ind w:left="2744" w:hanging="397"/>
      </w:pPr>
      <w:rPr>
        <w:rFonts w:hint="default"/>
      </w:rPr>
    </w:lvl>
    <w:lvl w:ilvl="3">
      <w:start w:val="1"/>
      <w:numFmt w:val="none"/>
      <w:lvlText w:val=""/>
      <w:lvlJc w:val="left"/>
      <w:pPr>
        <w:tabs>
          <w:tab w:val="num" w:pos="2744"/>
        </w:tabs>
        <w:ind w:left="2744" w:hanging="1304"/>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num w:numId="1" w16cid:durableId="1980380136">
    <w:abstractNumId w:val="11"/>
  </w:num>
  <w:num w:numId="2" w16cid:durableId="1332294114">
    <w:abstractNumId w:val="13"/>
  </w:num>
  <w:num w:numId="3" w16cid:durableId="1200581561">
    <w:abstractNumId w:val="32"/>
  </w:num>
  <w:num w:numId="4" w16cid:durableId="529685279">
    <w:abstractNumId w:val="23"/>
  </w:num>
  <w:num w:numId="5" w16cid:durableId="1200046013">
    <w:abstractNumId w:val="14"/>
  </w:num>
  <w:num w:numId="6" w16cid:durableId="2035836336">
    <w:abstractNumId w:val="20"/>
    <w:lvlOverride w:ilvl="0">
      <w:startOverride w:val="1"/>
    </w:lvlOverride>
  </w:num>
  <w:num w:numId="7" w16cid:durableId="1536578824">
    <w:abstractNumId w:val="12"/>
  </w:num>
  <w:num w:numId="8" w16cid:durableId="1206873126">
    <w:abstractNumId w:val="29"/>
  </w:num>
  <w:num w:numId="9" w16cid:durableId="783425853">
    <w:abstractNumId w:val="16"/>
  </w:num>
  <w:num w:numId="10" w16cid:durableId="1351026550">
    <w:abstractNumId w:val="15"/>
  </w:num>
  <w:num w:numId="11" w16cid:durableId="19394108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3447302">
    <w:abstractNumId w:val="10"/>
  </w:num>
  <w:num w:numId="13" w16cid:durableId="1246888481">
    <w:abstractNumId w:val="9"/>
  </w:num>
  <w:num w:numId="14" w16cid:durableId="2029788225">
    <w:abstractNumId w:val="7"/>
  </w:num>
  <w:num w:numId="15" w16cid:durableId="1739354546">
    <w:abstractNumId w:val="6"/>
  </w:num>
  <w:num w:numId="16" w16cid:durableId="216627149">
    <w:abstractNumId w:val="5"/>
  </w:num>
  <w:num w:numId="17" w16cid:durableId="1505054116">
    <w:abstractNumId w:val="4"/>
  </w:num>
  <w:num w:numId="18" w16cid:durableId="2028020906">
    <w:abstractNumId w:val="8"/>
  </w:num>
  <w:num w:numId="19" w16cid:durableId="1761481660">
    <w:abstractNumId w:val="3"/>
  </w:num>
  <w:num w:numId="20" w16cid:durableId="813720919">
    <w:abstractNumId w:val="2"/>
  </w:num>
  <w:num w:numId="21" w16cid:durableId="454063857">
    <w:abstractNumId w:val="1"/>
  </w:num>
  <w:num w:numId="22" w16cid:durableId="1450666006">
    <w:abstractNumId w:val="0"/>
  </w:num>
  <w:num w:numId="23" w16cid:durableId="234559171">
    <w:abstractNumId w:val="19"/>
  </w:num>
  <w:num w:numId="24" w16cid:durableId="378822207">
    <w:abstractNumId w:val="10"/>
    <w:lvlOverride w:ilvl="0">
      <w:startOverride w:val="1"/>
    </w:lvlOverride>
  </w:num>
  <w:num w:numId="25" w16cid:durableId="1427117274">
    <w:abstractNumId w:val="24"/>
  </w:num>
  <w:num w:numId="26" w16cid:durableId="1994135282">
    <w:abstractNumId w:val="30"/>
  </w:num>
  <w:num w:numId="27" w16cid:durableId="1073238164">
    <w:abstractNumId w:val="22"/>
  </w:num>
  <w:num w:numId="28" w16cid:durableId="1420517136">
    <w:abstractNumId w:val="25"/>
  </w:num>
  <w:num w:numId="29" w16cid:durableId="1057052023">
    <w:abstractNumId w:val="27"/>
  </w:num>
  <w:num w:numId="30" w16cid:durableId="837185584">
    <w:abstractNumId w:val="18"/>
  </w:num>
  <w:num w:numId="31" w16cid:durableId="1942296679">
    <w:abstractNumId w:val="26"/>
  </w:num>
  <w:num w:numId="32" w16cid:durableId="550386745">
    <w:abstractNumId w:val="21"/>
  </w:num>
  <w:num w:numId="33" w16cid:durableId="10003566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64994500">
    <w:abstractNumId w:val="22"/>
  </w:num>
  <w:num w:numId="35" w16cid:durableId="2029335341">
    <w:abstractNumId w:val="17"/>
  </w:num>
  <w:num w:numId="36" w16cid:durableId="1336497659">
    <w:abstractNumId w:val="31"/>
  </w:num>
  <w:num w:numId="37" w16cid:durableId="1820658572">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78"/>
    <w:rsid w:val="000011BB"/>
    <w:rsid w:val="0000163C"/>
    <w:rsid w:val="00003941"/>
    <w:rsid w:val="0000495A"/>
    <w:rsid w:val="00010448"/>
    <w:rsid w:val="00010EE4"/>
    <w:rsid w:val="00011292"/>
    <w:rsid w:val="00012602"/>
    <w:rsid w:val="00015848"/>
    <w:rsid w:val="0001674A"/>
    <w:rsid w:val="000167E9"/>
    <w:rsid w:val="000172D3"/>
    <w:rsid w:val="00021A3D"/>
    <w:rsid w:val="00024D52"/>
    <w:rsid w:val="00025F03"/>
    <w:rsid w:val="00026664"/>
    <w:rsid w:val="000271C6"/>
    <w:rsid w:val="000308F3"/>
    <w:rsid w:val="0003232E"/>
    <w:rsid w:val="00032596"/>
    <w:rsid w:val="000329EE"/>
    <w:rsid w:val="00033477"/>
    <w:rsid w:val="00034758"/>
    <w:rsid w:val="00034A43"/>
    <w:rsid w:val="00034B9D"/>
    <w:rsid w:val="0003567A"/>
    <w:rsid w:val="0003733C"/>
    <w:rsid w:val="00037F1A"/>
    <w:rsid w:val="000444AB"/>
    <w:rsid w:val="00046E45"/>
    <w:rsid w:val="00050C40"/>
    <w:rsid w:val="00051937"/>
    <w:rsid w:val="000544B7"/>
    <w:rsid w:val="00054B19"/>
    <w:rsid w:val="0005701F"/>
    <w:rsid w:val="00060D5A"/>
    <w:rsid w:val="00061D13"/>
    <w:rsid w:val="000631A7"/>
    <w:rsid w:val="0006324A"/>
    <w:rsid w:val="00064C39"/>
    <w:rsid w:val="0006509E"/>
    <w:rsid w:val="00065C55"/>
    <w:rsid w:val="00065EF0"/>
    <w:rsid w:val="000668EE"/>
    <w:rsid w:val="0007079A"/>
    <w:rsid w:val="00073CC7"/>
    <w:rsid w:val="00075425"/>
    <w:rsid w:val="000765D1"/>
    <w:rsid w:val="0007707F"/>
    <w:rsid w:val="00080794"/>
    <w:rsid w:val="00080C12"/>
    <w:rsid w:val="00080DC9"/>
    <w:rsid w:val="00082577"/>
    <w:rsid w:val="000829A5"/>
    <w:rsid w:val="0008353F"/>
    <w:rsid w:val="00085C3E"/>
    <w:rsid w:val="0009241D"/>
    <w:rsid w:val="000939A6"/>
    <w:rsid w:val="00093D9F"/>
    <w:rsid w:val="00094783"/>
    <w:rsid w:val="0009504C"/>
    <w:rsid w:val="00096070"/>
    <w:rsid w:val="00096FC6"/>
    <w:rsid w:val="000972F1"/>
    <w:rsid w:val="000A0F93"/>
    <w:rsid w:val="000A1880"/>
    <w:rsid w:val="000A3FD5"/>
    <w:rsid w:val="000A4558"/>
    <w:rsid w:val="000A6F2F"/>
    <w:rsid w:val="000A7C39"/>
    <w:rsid w:val="000B1D26"/>
    <w:rsid w:val="000B3705"/>
    <w:rsid w:val="000B6D8E"/>
    <w:rsid w:val="000B7BE7"/>
    <w:rsid w:val="000C215F"/>
    <w:rsid w:val="000C345C"/>
    <w:rsid w:val="000C6831"/>
    <w:rsid w:val="000C6971"/>
    <w:rsid w:val="000C7484"/>
    <w:rsid w:val="000D29DD"/>
    <w:rsid w:val="000D3187"/>
    <w:rsid w:val="000D7295"/>
    <w:rsid w:val="000D72A7"/>
    <w:rsid w:val="000F036D"/>
    <w:rsid w:val="000F1256"/>
    <w:rsid w:val="000F15A0"/>
    <w:rsid w:val="000F31AA"/>
    <w:rsid w:val="000F3413"/>
    <w:rsid w:val="00101458"/>
    <w:rsid w:val="001018B9"/>
    <w:rsid w:val="001024DC"/>
    <w:rsid w:val="0010394D"/>
    <w:rsid w:val="001049B8"/>
    <w:rsid w:val="00105DD1"/>
    <w:rsid w:val="001074F2"/>
    <w:rsid w:val="00113A4F"/>
    <w:rsid w:val="00114BCE"/>
    <w:rsid w:val="0011636C"/>
    <w:rsid w:val="00117D19"/>
    <w:rsid w:val="00120795"/>
    <w:rsid w:val="00120DDD"/>
    <w:rsid w:val="0012359A"/>
    <w:rsid w:val="00123EEC"/>
    <w:rsid w:val="0012421C"/>
    <w:rsid w:val="0012422F"/>
    <w:rsid w:val="00125710"/>
    <w:rsid w:val="00125DBC"/>
    <w:rsid w:val="00126C50"/>
    <w:rsid w:val="001271F2"/>
    <w:rsid w:val="0012737B"/>
    <w:rsid w:val="00131E17"/>
    <w:rsid w:val="00132282"/>
    <w:rsid w:val="00134213"/>
    <w:rsid w:val="0013421C"/>
    <w:rsid w:val="001350C1"/>
    <w:rsid w:val="00135E4C"/>
    <w:rsid w:val="00141BE8"/>
    <w:rsid w:val="001420BD"/>
    <w:rsid w:val="001447A7"/>
    <w:rsid w:val="00154022"/>
    <w:rsid w:val="0015427E"/>
    <w:rsid w:val="00157194"/>
    <w:rsid w:val="00160F1F"/>
    <w:rsid w:val="001622C7"/>
    <w:rsid w:val="001640C6"/>
    <w:rsid w:val="0016466D"/>
    <w:rsid w:val="0016509B"/>
    <w:rsid w:val="00165220"/>
    <w:rsid w:val="00165360"/>
    <w:rsid w:val="00167000"/>
    <w:rsid w:val="001674D3"/>
    <w:rsid w:val="001755AF"/>
    <w:rsid w:val="00180BA7"/>
    <w:rsid w:val="00181969"/>
    <w:rsid w:val="001826A9"/>
    <w:rsid w:val="00182FAD"/>
    <w:rsid w:val="001833D8"/>
    <w:rsid w:val="00184A68"/>
    <w:rsid w:val="00184DDC"/>
    <w:rsid w:val="00185D36"/>
    <w:rsid w:val="00187283"/>
    <w:rsid w:val="0018764A"/>
    <w:rsid w:val="001901AC"/>
    <w:rsid w:val="00190912"/>
    <w:rsid w:val="00191FFC"/>
    <w:rsid w:val="001926F4"/>
    <w:rsid w:val="00193A75"/>
    <w:rsid w:val="001953CE"/>
    <w:rsid w:val="0019574E"/>
    <w:rsid w:val="00195946"/>
    <w:rsid w:val="00196E94"/>
    <w:rsid w:val="001A2512"/>
    <w:rsid w:val="001A444E"/>
    <w:rsid w:val="001A6D67"/>
    <w:rsid w:val="001A7C9F"/>
    <w:rsid w:val="001B0FE7"/>
    <w:rsid w:val="001B22C8"/>
    <w:rsid w:val="001B2BB0"/>
    <w:rsid w:val="001B32B7"/>
    <w:rsid w:val="001B6579"/>
    <w:rsid w:val="001B6D7A"/>
    <w:rsid w:val="001C0121"/>
    <w:rsid w:val="001C2C94"/>
    <w:rsid w:val="001C3736"/>
    <w:rsid w:val="001C5E0B"/>
    <w:rsid w:val="001C6349"/>
    <w:rsid w:val="001C7C12"/>
    <w:rsid w:val="001C7C83"/>
    <w:rsid w:val="001D040F"/>
    <w:rsid w:val="001D07D5"/>
    <w:rsid w:val="001D1C1C"/>
    <w:rsid w:val="001D2627"/>
    <w:rsid w:val="001D5028"/>
    <w:rsid w:val="001D5F20"/>
    <w:rsid w:val="001D6CA2"/>
    <w:rsid w:val="001E1131"/>
    <w:rsid w:val="001E29BD"/>
    <w:rsid w:val="001E6402"/>
    <w:rsid w:val="001E753D"/>
    <w:rsid w:val="001E7767"/>
    <w:rsid w:val="001F27CB"/>
    <w:rsid w:val="001F3187"/>
    <w:rsid w:val="001F386C"/>
    <w:rsid w:val="001F42C3"/>
    <w:rsid w:val="001F46B5"/>
    <w:rsid w:val="001F530B"/>
    <w:rsid w:val="001F5946"/>
    <w:rsid w:val="00201770"/>
    <w:rsid w:val="00201E28"/>
    <w:rsid w:val="002036F4"/>
    <w:rsid w:val="00203CAD"/>
    <w:rsid w:val="002047FA"/>
    <w:rsid w:val="00205255"/>
    <w:rsid w:val="00206D54"/>
    <w:rsid w:val="00211134"/>
    <w:rsid w:val="00213A6D"/>
    <w:rsid w:val="00213FD0"/>
    <w:rsid w:val="002142B9"/>
    <w:rsid w:val="002142C9"/>
    <w:rsid w:val="0021452B"/>
    <w:rsid w:val="00215B68"/>
    <w:rsid w:val="00216880"/>
    <w:rsid w:val="00216D98"/>
    <w:rsid w:val="00220602"/>
    <w:rsid w:val="00220E35"/>
    <w:rsid w:val="00222755"/>
    <w:rsid w:val="0022343C"/>
    <w:rsid w:val="002235C6"/>
    <w:rsid w:val="0022371E"/>
    <w:rsid w:val="00231E17"/>
    <w:rsid w:val="00231F2C"/>
    <w:rsid w:val="002326F1"/>
    <w:rsid w:val="002341B0"/>
    <w:rsid w:val="00235932"/>
    <w:rsid w:val="00236B82"/>
    <w:rsid w:val="00237083"/>
    <w:rsid w:val="00244086"/>
    <w:rsid w:val="00245488"/>
    <w:rsid w:val="002458BE"/>
    <w:rsid w:val="0025075C"/>
    <w:rsid w:val="0025134A"/>
    <w:rsid w:val="0025186A"/>
    <w:rsid w:val="00255434"/>
    <w:rsid w:val="00255D1B"/>
    <w:rsid w:val="00256A2E"/>
    <w:rsid w:val="00256B98"/>
    <w:rsid w:val="00256D7C"/>
    <w:rsid w:val="00257C3B"/>
    <w:rsid w:val="00260356"/>
    <w:rsid w:val="0026334B"/>
    <w:rsid w:val="00263BBC"/>
    <w:rsid w:val="00264EC3"/>
    <w:rsid w:val="00265012"/>
    <w:rsid w:val="00266A7F"/>
    <w:rsid w:val="00270355"/>
    <w:rsid w:val="00271D76"/>
    <w:rsid w:val="00273610"/>
    <w:rsid w:val="00274501"/>
    <w:rsid w:val="0027669F"/>
    <w:rsid w:val="00282831"/>
    <w:rsid w:val="00285644"/>
    <w:rsid w:val="0028727C"/>
    <w:rsid w:val="0028794F"/>
    <w:rsid w:val="0029274B"/>
    <w:rsid w:val="00294A0F"/>
    <w:rsid w:val="002957A7"/>
    <w:rsid w:val="0029685A"/>
    <w:rsid w:val="002A0AE8"/>
    <w:rsid w:val="002A5122"/>
    <w:rsid w:val="002B0900"/>
    <w:rsid w:val="002B17A3"/>
    <w:rsid w:val="002B17AB"/>
    <w:rsid w:val="002B2A04"/>
    <w:rsid w:val="002B3C91"/>
    <w:rsid w:val="002B7CFC"/>
    <w:rsid w:val="002C008C"/>
    <w:rsid w:val="002C0223"/>
    <w:rsid w:val="002C167B"/>
    <w:rsid w:val="002C57F0"/>
    <w:rsid w:val="002D044E"/>
    <w:rsid w:val="002D09E0"/>
    <w:rsid w:val="002D0B11"/>
    <w:rsid w:val="002D2429"/>
    <w:rsid w:val="002D399E"/>
    <w:rsid w:val="002E0500"/>
    <w:rsid w:val="002E29CC"/>
    <w:rsid w:val="002E2A89"/>
    <w:rsid w:val="002E4C49"/>
    <w:rsid w:val="002E7B09"/>
    <w:rsid w:val="002F057D"/>
    <w:rsid w:val="002F2768"/>
    <w:rsid w:val="002F4685"/>
    <w:rsid w:val="002F4E79"/>
    <w:rsid w:val="002F714A"/>
    <w:rsid w:val="003072B1"/>
    <w:rsid w:val="00307B73"/>
    <w:rsid w:val="00310482"/>
    <w:rsid w:val="00310F6C"/>
    <w:rsid w:val="003148BA"/>
    <w:rsid w:val="00314D0C"/>
    <w:rsid w:val="0031716C"/>
    <w:rsid w:val="003222CD"/>
    <w:rsid w:val="00322568"/>
    <w:rsid w:val="0032332D"/>
    <w:rsid w:val="003247A8"/>
    <w:rsid w:val="00325BF0"/>
    <w:rsid w:val="00325D0C"/>
    <w:rsid w:val="00325DFC"/>
    <w:rsid w:val="00327DD9"/>
    <w:rsid w:val="0033336C"/>
    <w:rsid w:val="00336115"/>
    <w:rsid w:val="003366FF"/>
    <w:rsid w:val="003372F3"/>
    <w:rsid w:val="003410FD"/>
    <w:rsid w:val="00346B41"/>
    <w:rsid w:val="00346B68"/>
    <w:rsid w:val="00350341"/>
    <w:rsid w:val="003505BD"/>
    <w:rsid w:val="00350FA4"/>
    <w:rsid w:val="00351073"/>
    <w:rsid w:val="003516AD"/>
    <w:rsid w:val="00351CD3"/>
    <w:rsid w:val="003550EA"/>
    <w:rsid w:val="00361C52"/>
    <w:rsid w:val="00361D34"/>
    <w:rsid w:val="00365D82"/>
    <w:rsid w:val="003675AC"/>
    <w:rsid w:val="00371477"/>
    <w:rsid w:val="0037281A"/>
    <w:rsid w:val="00377AC8"/>
    <w:rsid w:val="0038194D"/>
    <w:rsid w:val="0038200D"/>
    <w:rsid w:val="00384229"/>
    <w:rsid w:val="003867DA"/>
    <w:rsid w:val="00387AB9"/>
    <w:rsid w:val="00390A6A"/>
    <w:rsid w:val="0039102F"/>
    <w:rsid w:val="00392A1B"/>
    <w:rsid w:val="00392BA4"/>
    <w:rsid w:val="00395159"/>
    <w:rsid w:val="003A08FF"/>
    <w:rsid w:val="003A48AB"/>
    <w:rsid w:val="003B07C4"/>
    <w:rsid w:val="003B0BDA"/>
    <w:rsid w:val="003B3577"/>
    <w:rsid w:val="003B53BD"/>
    <w:rsid w:val="003B7D75"/>
    <w:rsid w:val="003C0A02"/>
    <w:rsid w:val="003C5154"/>
    <w:rsid w:val="003D0418"/>
    <w:rsid w:val="003D4604"/>
    <w:rsid w:val="003D58BC"/>
    <w:rsid w:val="003D5FE6"/>
    <w:rsid w:val="003F0BDC"/>
    <w:rsid w:val="003F2E20"/>
    <w:rsid w:val="003F41EA"/>
    <w:rsid w:val="003F4E05"/>
    <w:rsid w:val="003F6D56"/>
    <w:rsid w:val="003F7EC8"/>
    <w:rsid w:val="00400AAB"/>
    <w:rsid w:val="004022DF"/>
    <w:rsid w:val="004073AF"/>
    <w:rsid w:val="004129B4"/>
    <w:rsid w:val="00413F7B"/>
    <w:rsid w:val="00415292"/>
    <w:rsid w:val="00417B99"/>
    <w:rsid w:val="00420CB1"/>
    <w:rsid w:val="00425730"/>
    <w:rsid w:val="00425EC0"/>
    <w:rsid w:val="0042739B"/>
    <w:rsid w:val="00430DEB"/>
    <w:rsid w:val="004316B5"/>
    <w:rsid w:val="00431CCF"/>
    <w:rsid w:val="00432B1E"/>
    <w:rsid w:val="00435BDB"/>
    <w:rsid w:val="00440792"/>
    <w:rsid w:val="004409DD"/>
    <w:rsid w:val="004411CC"/>
    <w:rsid w:val="00443098"/>
    <w:rsid w:val="00443D98"/>
    <w:rsid w:val="00444793"/>
    <w:rsid w:val="00445904"/>
    <w:rsid w:val="0044799A"/>
    <w:rsid w:val="0045024D"/>
    <w:rsid w:val="004518B5"/>
    <w:rsid w:val="004540BE"/>
    <w:rsid w:val="00454364"/>
    <w:rsid w:val="00463683"/>
    <w:rsid w:val="0046397F"/>
    <w:rsid w:val="0047072F"/>
    <w:rsid w:val="004724EE"/>
    <w:rsid w:val="0047663B"/>
    <w:rsid w:val="004818A3"/>
    <w:rsid w:val="00483DC0"/>
    <w:rsid w:val="00484B7D"/>
    <w:rsid w:val="00486680"/>
    <w:rsid w:val="00487139"/>
    <w:rsid w:val="00487A29"/>
    <w:rsid w:val="004929D7"/>
    <w:rsid w:val="004952EE"/>
    <w:rsid w:val="00496A23"/>
    <w:rsid w:val="004A16A0"/>
    <w:rsid w:val="004A1EC6"/>
    <w:rsid w:val="004A20F0"/>
    <w:rsid w:val="004A23FE"/>
    <w:rsid w:val="004A4845"/>
    <w:rsid w:val="004A6C51"/>
    <w:rsid w:val="004B141D"/>
    <w:rsid w:val="004B1706"/>
    <w:rsid w:val="004B57B5"/>
    <w:rsid w:val="004C0984"/>
    <w:rsid w:val="004C17FC"/>
    <w:rsid w:val="004C1C38"/>
    <w:rsid w:val="004C2968"/>
    <w:rsid w:val="004C3FB0"/>
    <w:rsid w:val="004C40FF"/>
    <w:rsid w:val="004C5A9C"/>
    <w:rsid w:val="004D118E"/>
    <w:rsid w:val="004D1448"/>
    <w:rsid w:val="004D2034"/>
    <w:rsid w:val="004D7AC7"/>
    <w:rsid w:val="004E1246"/>
    <w:rsid w:val="004E13C8"/>
    <w:rsid w:val="004E1693"/>
    <w:rsid w:val="004E1A10"/>
    <w:rsid w:val="004E2091"/>
    <w:rsid w:val="004E42E8"/>
    <w:rsid w:val="004E4D65"/>
    <w:rsid w:val="004E560A"/>
    <w:rsid w:val="004E7281"/>
    <w:rsid w:val="004F07D9"/>
    <w:rsid w:val="004F20F9"/>
    <w:rsid w:val="004F24F7"/>
    <w:rsid w:val="004F3B04"/>
    <w:rsid w:val="004F54AC"/>
    <w:rsid w:val="004F550D"/>
    <w:rsid w:val="004F7E76"/>
    <w:rsid w:val="004F7E8D"/>
    <w:rsid w:val="00500EE3"/>
    <w:rsid w:val="00511D8E"/>
    <w:rsid w:val="0051281E"/>
    <w:rsid w:val="00512FDD"/>
    <w:rsid w:val="005149D4"/>
    <w:rsid w:val="00516660"/>
    <w:rsid w:val="005179BB"/>
    <w:rsid w:val="00521131"/>
    <w:rsid w:val="00521825"/>
    <w:rsid w:val="00523DDE"/>
    <w:rsid w:val="00526F35"/>
    <w:rsid w:val="0052753B"/>
    <w:rsid w:val="005306D0"/>
    <w:rsid w:val="00530F89"/>
    <w:rsid w:val="005315A0"/>
    <w:rsid w:val="005329CA"/>
    <w:rsid w:val="00532EAF"/>
    <w:rsid w:val="00533FC5"/>
    <w:rsid w:val="00534BDF"/>
    <w:rsid w:val="0053589B"/>
    <w:rsid w:val="00540A07"/>
    <w:rsid w:val="00540A2B"/>
    <w:rsid w:val="005411CD"/>
    <w:rsid w:val="005446E5"/>
    <w:rsid w:val="00544F2E"/>
    <w:rsid w:val="005452C2"/>
    <w:rsid w:val="00546055"/>
    <w:rsid w:val="00546120"/>
    <w:rsid w:val="00546472"/>
    <w:rsid w:val="00546F0A"/>
    <w:rsid w:val="00547465"/>
    <w:rsid w:val="00547ABB"/>
    <w:rsid w:val="005517C0"/>
    <w:rsid w:val="00553C66"/>
    <w:rsid w:val="00555671"/>
    <w:rsid w:val="0055607F"/>
    <w:rsid w:val="00557E7A"/>
    <w:rsid w:val="005627E2"/>
    <w:rsid w:val="00564299"/>
    <w:rsid w:val="0056464A"/>
    <w:rsid w:val="00564E90"/>
    <w:rsid w:val="00566416"/>
    <w:rsid w:val="00571A9A"/>
    <w:rsid w:val="0057316C"/>
    <w:rsid w:val="00576C0D"/>
    <w:rsid w:val="00580E18"/>
    <w:rsid w:val="00582BE2"/>
    <w:rsid w:val="00587069"/>
    <w:rsid w:val="0059187E"/>
    <w:rsid w:val="0059626E"/>
    <w:rsid w:val="005968D7"/>
    <w:rsid w:val="005A0DA9"/>
    <w:rsid w:val="005A2200"/>
    <w:rsid w:val="005A266E"/>
    <w:rsid w:val="005A6AAE"/>
    <w:rsid w:val="005A6CC2"/>
    <w:rsid w:val="005B232B"/>
    <w:rsid w:val="005B3E33"/>
    <w:rsid w:val="005B57DB"/>
    <w:rsid w:val="005C07CE"/>
    <w:rsid w:val="005C15C2"/>
    <w:rsid w:val="005C1F00"/>
    <w:rsid w:val="005C2039"/>
    <w:rsid w:val="005C587A"/>
    <w:rsid w:val="005C65D3"/>
    <w:rsid w:val="005D0597"/>
    <w:rsid w:val="005D5240"/>
    <w:rsid w:val="005D7F4F"/>
    <w:rsid w:val="005E499F"/>
    <w:rsid w:val="005F3D0F"/>
    <w:rsid w:val="005F5534"/>
    <w:rsid w:val="005F692F"/>
    <w:rsid w:val="00601428"/>
    <w:rsid w:val="0060246B"/>
    <w:rsid w:val="00603E0E"/>
    <w:rsid w:val="00603F19"/>
    <w:rsid w:val="00605463"/>
    <w:rsid w:val="006068FD"/>
    <w:rsid w:val="00607989"/>
    <w:rsid w:val="006103F9"/>
    <w:rsid w:val="00612274"/>
    <w:rsid w:val="00612794"/>
    <w:rsid w:val="00613069"/>
    <w:rsid w:val="006142DE"/>
    <w:rsid w:val="00615C08"/>
    <w:rsid w:val="00620C5D"/>
    <w:rsid w:val="0062309A"/>
    <w:rsid w:val="00623B7A"/>
    <w:rsid w:val="00625080"/>
    <w:rsid w:val="00625580"/>
    <w:rsid w:val="0062794D"/>
    <w:rsid w:val="00627BC0"/>
    <w:rsid w:val="0063020C"/>
    <w:rsid w:val="006324D2"/>
    <w:rsid w:val="00632BEE"/>
    <w:rsid w:val="006369F8"/>
    <w:rsid w:val="00640302"/>
    <w:rsid w:val="00640B8E"/>
    <w:rsid w:val="00641EC4"/>
    <w:rsid w:val="00644B3C"/>
    <w:rsid w:val="00653903"/>
    <w:rsid w:val="006543C9"/>
    <w:rsid w:val="006544EC"/>
    <w:rsid w:val="0065581D"/>
    <w:rsid w:val="006561AB"/>
    <w:rsid w:val="00657A35"/>
    <w:rsid w:val="00660A2D"/>
    <w:rsid w:val="00660DA8"/>
    <w:rsid w:val="006634E2"/>
    <w:rsid w:val="006640BC"/>
    <w:rsid w:val="006667DA"/>
    <w:rsid w:val="00670959"/>
    <w:rsid w:val="00671AC3"/>
    <w:rsid w:val="00672576"/>
    <w:rsid w:val="0067317F"/>
    <w:rsid w:val="00681427"/>
    <w:rsid w:val="00681DBE"/>
    <w:rsid w:val="006834BB"/>
    <w:rsid w:val="0068354F"/>
    <w:rsid w:val="00684179"/>
    <w:rsid w:val="0068586F"/>
    <w:rsid w:val="00686C14"/>
    <w:rsid w:val="006908F2"/>
    <w:rsid w:val="00690B43"/>
    <w:rsid w:val="00696D11"/>
    <w:rsid w:val="006A1806"/>
    <w:rsid w:val="006A5AE5"/>
    <w:rsid w:val="006A743D"/>
    <w:rsid w:val="006B4AE8"/>
    <w:rsid w:val="006B4E0C"/>
    <w:rsid w:val="006C09A7"/>
    <w:rsid w:val="006C1841"/>
    <w:rsid w:val="006C2BF7"/>
    <w:rsid w:val="006C451C"/>
    <w:rsid w:val="006C5994"/>
    <w:rsid w:val="006C62D3"/>
    <w:rsid w:val="006D13C5"/>
    <w:rsid w:val="006D2F35"/>
    <w:rsid w:val="006D3B54"/>
    <w:rsid w:val="006D5AAB"/>
    <w:rsid w:val="006D5D2B"/>
    <w:rsid w:val="006D7B6A"/>
    <w:rsid w:val="006E1365"/>
    <w:rsid w:val="006E6856"/>
    <w:rsid w:val="006F2F1C"/>
    <w:rsid w:val="006F40AE"/>
    <w:rsid w:val="00701DEB"/>
    <w:rsid w:val="0070376D"/>
    <w:rsid w:val="00703A73"/>
    <w:rsid w:val="00704357"/>
    <w:rsid w:val="00710107"/>
    <w:rsid w:val="00712C4C"/>
    <w:rsid w:val="00716968"/>
    <w:rsid w:val="00720666"/>
    <w:rsid w:val="00722068"/>
    <w:rsid w:val="007238BA"/>
    <w:rsid w:val="00726B23"/>
    <w:rsid w:val="007303D8"/>
    <w:rsid w:val="00730873"/>
    <w:rsid w:val="007318D6"/>
    <w:rsid w:val="00731EB6"/>
    <w:rsid w:val="007339C8"/>
    <w:rsid w:val="00734B6D"/>
    <w:rsid w:val="00735F22"/>
    <w:rsid w:val="00736BBD"/>
    <w:rsid w:val="00741F3A"/>
    <w:rsid w:val="007425E1"/>
    <w:rsid w:val="00745BDC"/>
    <w:rsid w:val="0074646A"/>
    <w:rsid w:val="007466F8"/>
    <w:rsid w:val="00750A07"/>
    <w:rsid w:val="007553DC"/>
    <w:rsid w:val="00766F95"/>
    <w:rsid w:val="007674C5"/>
    <w:rsid w:val="00770AF6"/>
    <w:rsid w:val="007808AA"/>
    <w:rsid w:val="00780EBF"/>
    <w:rsid w:val="007813BE"/>
    <w:rsid w:val="00781BE8"/>
    <w:rsid w:val="00785DD5"/>
    <w:rsid w:val="007875BB"/>
    <w:rsid w:val="007900B5"/>
    <w:rsid w:val="0079083C"/>
    <w:rsid w:val="00791C25"/>
    <w:rsid w:val="00797738"/>
    <w:rsid w:val="007A09B6"/>
    <w:rsid w:val="007A0DBC"/>
    <w:rsid w:val="007A2680"/>
    <w:rsid w:val="007A35DA"/>
    <w:rsid w:val="007A6630"/>
    <w:rsid w:val="007A6D9F"/>
    <w:rsid w:val="007B3A67"/>
    <w:rsid w:val="007C06BF"/>
    <w:rsid w:val="007C0817"/>
    <w:rsid w:val="007C0CBC"/>
    <w:rsid w:val="007C11EC"/>
    <w:rsid w:val="007C1ECB"/>
    <w:rsid w:val="007C29C0"/>
    <w:rsid w:val="007C75D4"/>
    <w:rsid w:val="007D0044"/>
    <w:rsid w:val="007D349F"/>
    <w:rsid w:val="007D36D2"/>
    <w:rsid w:val="007D70A4"/>
    <w:rsid w:val="007D70A6"/>
    <w:rsid w:val="007D7961"/>
    <w:rsid w:val="007E1150"/>
    <w:rsid w:val="007E28C2"/>
    <w:rsid w:val="007E2A18"/>
    <w:rsid w:val="007E6CDC"/>
    <w:rsid w:val="007E7159"/>
    <w:rsid w:val="007E7513"/>
    <w:rsid w:val="007F2466"/>
    <w:rsid w:val="007F2C2D"/>
    <w:rsid w:val="007F3166"/>
    <w:rsid w:val="007F5577"/>
    <w:rsid w:val="007F58D3"/>
    <w:rsid w:val="007F6666"/>
    <w:rsid w:val="007F6C34"/>
    <w:rsid w:val="0080028A"/>
    <w:rsid w:val="00802121"/>
    <w:rsid w:val="008049BC"/>
    <w:rsid w:val="00806297"/>
    <w:rsid w:val="00806A75"/>
    <w:rsid w:val="008109A4"/>
    <w:rsid w:val="00810FBD"/>
    <w:rsid w:val="0081143F"/>
    <w:rsid w:val="008125C4"/>
    <w:rsid w:val="0082052B"/>
    <w:rsid w:val="00822053"/>
    <w:rsid w:val="008255BE"/>
    <w:rsid w:val="00827C63"/>
    <w:rsid w:val="00827C79"/>
    <w:rsid w:val="00830975"/>
    <w:rsid w:val="00836B41"/>
    <w:rsid w:val="0083751E"/>
    <w:rsid w:val="00837880"/>
    <w:rsid w:val="008409B8"/>
    <w:rsid w:val="00843690"/>
    <w:rsid w:val="0084419B"/>
    <w:rsid w:val="00850775"/>
    <w:rsid w:val="00850997"/>
    <w:rsid w:val="00850DC6"/>
    <w:rsid w:val="00851AA1"/>
    <w:rsid w:val="0085440D"/>
    <w:rsid w:val="00854F2F"/>
    <w:rsid w:val="008565EF"/>
    <w:rsid w:val="00857941"/>
    <w:rsid w:val="00857FB9"/>
    <w:rsid w:val="008629A0"/>
    <w:rsid w:val="00862A3B"/>
    <w:rsid w:val="008637E7"/>
    <w:rsid w:val="00864959"/>
    <w:rsid w:val="00866930"/>
    <w:rsid w:val="00867956"/>
    <w:rsid w:val="00870E91"/>
    <w:rsid w:val="0087217E"/>
    <w:rsid w:val="008722B6"/>
    <w:rsid w:val="008729E5"/>
    <w:rsid w:val="008772EB"/>
    <w:rsid w:val="0088438F"/>
    <w:rsid w:val="00884C77"/>
    <w:rsid w:val="00885EAE"/>
    <w:rsid w:val="00890EB8"/>
    <w:rsid w:val="00892AE6"/>
    <w:rsid w:val="00893CD4"/>
    <w:rsid w:val="00894152"/>
    <w:rsid w:val="0089576D"/>
    <w:rsid w:val="008A056B"/>
    <w:rsid w:val="008A1486"/>
    <w:rsid w:val="008A1D18"/>
    <w:rsid w:val="008A28F8"/>
    <w:rsid w:val="008A39A2"/>
    <w:rsid w:val="008A7A16"/>
    <w:rsid w:val="008B01DD"/>
    <w:rsid w:val="008B2587"/>
    <w:rsid w:val="008B351B"/>
    <w:rsid w:val="008C1D23"/>
    <w:rsid w:val="008C27D8"/>
    <w:rsid w:val="008C4FFE"/>
    <w:rsid w:val="008C6E63"/>
    <w:rsid w:val="008D0344"/>
    <w:rsid w:val="008D2EB8"/>
    <w:rsid w:val="008D383A"/>
    <w:rsid w:val="008D47D4"/>
    <w:rsid w:val="008D7342"/>
    <w:rsid w:val="008D7B06"/>
    <w:rsid w:val="008E0722"/>
    <w:rsid w:val="008E0ABA"/>
    <w:rsid w:val="008E2DA8"/>
    <w:rsid w:val="008E34D8"/>
    <w:rsid w:val="008E385E"/>
    <w:rsid w:val="008E5C2C"/>
    <w:rsid w:val="008E6DE2"/>
    <w:rsid w:val="008E7A1A"/>
    <w:rsid w:val="008E7EF0"/>
    <w:rsid w:val="008F4C1D"/>
    <w:rsid w:val="008F7C78"/>
    <w:rsid w:val="00900931"/>
    <w:rsid w:val="00901290"/>
    <w:rsid w:val="00902D3F"/>
    <w:rsid w:val="00902F99"/>
    <w:rsid w:val="0090384D"/>
    <w:rsid w:val="00904382"/>
    <w:rsid w:val="009054FB"/>
    <w:rsid w:val="00906B87"/>
    <w:rsid w:val="00911B9C"/>
    <w:rsid w:val="009160B0"/>
    <w:rsid w:val="009167DE"/>
    <w:rsid w:val="00916D58"/>
    <w:rsid w:val="00916DD4"/>
    <w:rsid w:val="00923442"/>
    <w:rsid w:val="00927C6E"/>
    <w:rsid w:val="0093007A"/>
    <w:rsid w:val="00931180"/>
    <w:rsid w:val="00931360"/>
    <w:rsid w:val="00931871"/>
    <w:rsid w:val="00931AEE"/>
    <w:rsid w:val="0093200B"/>
    <w:rsid w:val="009331F4"/>
    <w:rsid w:val="00933D26"/>
    <w:rsid w:val="00935179"/>
    <w:rsid w:val="00935EBF"/>
    <w:rsid w:val="00940317"/>
    <w:rsid w:val="00940467"/>
    <w:rsid w:val="0094060B"/>
    <w:rsid w:val="00940C8E"/>
    <w:rsid w:val="009410A6"/>
    <w:rsid w:val="00941818"/>
    <w:rsid w:val="00945841"/>
    <w:rsid w:val="00945FD6"/>
    <w:rsid w:val="00946214"/>
    <w:rsid w:val="009503D7"/>
    <w:rsid w:val="00950CCE"/>
    <w:rsid w:val="00953C69"/>
    <w:rsid w:val="00956187"/>
    <w:rsid w:val="0096093B"/>
    <w:rsid w:val="00960C7B"/>
    <w:rsid w:val="009627F6"/>
    <w:rsid w:val="00963216"/>
    <w:rsid w:val="0096659D"/>
    <w:rsid w:val="009669AB"/>
    <w:rsid w:val="009674C3"/>
    <w:rsid w:val="009724F1"/>
    <w:rsid w:val="009729AE"/>
    <w:rsid w:val="009744BD"/>
    <w:rsid w:val="00975F76"/>
    <w:rsid w:val="00976AD7"/>
    <w:rsid w:val="00982234"/>
    <w:rsid w:val="00984B4F"/>
    <w:rsid w:val="00984E88"/>
    <w:rsid w:val="009867E5"/>
    <w:rsid w:val="00987730"/>
    <w:rsid w:val="0099069C"/>
    <w:rsid w:val="00990B72"/>
    <w:rsid w:val="00993AB8"/>
    <w:rsid w:val="00993E78"/>
    <w:rsid w:val="009A112C"/>
    <w:rsid w:val="009A273B"/>
    <w:rsid w:val="009A2DEF"/>
    <w:rsid w:val="009A3207"/>
    <w:rsid w:val="009A4B56"/>
    <w:rsid w:val="009A4E47"/>
    <w:rsid w:val="009A53B2"/>
    <w:rsid w:val="009A578C"/>
    <w:rsid w:val="009A79DD"/>
    <w:rsid w:val="009A7A8A"/>
    <w:rsid w:val="009B3446"/>
    <w:rsid w:val="009B407F"/>
    <w:rsid w:val="009B5E08"/>
    <w:rsid w:val="009B69B6"/>
    <w:rsid w:val="009C01BB"/>
    <w:rsid w:val="009C04EC"/>
    <w:rsid w:val="009C5B3F"/>
    <w:rsid w:val="009C6186"/>
    <w:rsid w:val="009D3560"/>
    <w:rsid w:val="009D41C1"/>
    <w:rsid w:val="009D5428"/>
    <w:rsid w:val="009E0029"/>
    <w:rsid w:val="009E0237"/>
    <w:rsid w:val="009E0602"/>
    <w:rsid w:val="009E0B91"/>
    <w:rsid w:val="009E15FE"/>
    <w:rsid w:val="009E184E"/>
    <w:rsid w:val="009F0606"/>
    <w:rsid w:val="009F1236"/>
    <w:rsid w:val="009F62D7"/>
    <w:rsid w:val="009F69C8"/>
    <w:rsid w:val="00A05452"/>
    <w:rsid w:val="00A068EF"/>
    <w:rsid w:val="00A0691C"/>
    <w:rsid w:val="00A07930"/>
    <w:rsid w:val="00A111D9"/>
    <w:rsid w:val="00A124F6"/>
    <w:rsid w:val="00A12B2A"/>
    <w:rsid w:val="00A1359F"/>
    <w:rsid w:val="00A1363E"/>
    <w:rsid w:val="00A13D10"/>
    <w:rsid w:val="00A15BC2"/>
    <w:rsid w:val="00A16822"/>
    <w:rsid w:val="00A22FFD"/>
    <w:rsid w:val="00A23DD7"/>
    <w:rsid w:val="00A2538B"/>
    <w:rsid w:val="00A26A76"/>
    <w:rsid w:val="00A315A3"/>
    <w:rsid w:val="00A356D5"/>
    <w:rsid w:val="00A3584E"/>
    <w:rsid w:val="00A35F08"/>
    <w:rsid w:val="00A419A3"/>
    <w:rsid w:val="00A41A4D"/>
    <w:rsid w:val="00A44324"/>
    <w:rsid w:val="00A4452C"/>
    <w:rsid w:val="00A51F84"/>
    <w:rsid w:val="00A52862"/>
    <w:rsid w:val="00A540F5"/>
    <w:rsid w:val="00A55930"/>
    <w:rsid w:val="00A56EED"/>
    <w:rsid w:val="00A57ED2"/>
    <w:rsid w:val="00A60CB9"/>
    <w:rsid w:val="00A60EE6"/>
    <w:rsid w:val="00A61072"/>
    <w:rsid w:val="00A61225"/>
    <w:rsid w:val="00A6198F"/>
    <w:rsid w:val="00A65445"/>
    <w:rsid w:val="00A71FFB"/>
    <w:rsid w:val="00A73158"/>
    <w:rsid w:val="00A777F7"/>
    <w:rsid w:val="00A92BA1"/>
    <w:rsid w:val="00A95AA7"/>
    <w:rsid w:val="00A96CAF"/>
    <w:rsid w:val="00A97FDC"/>
    <w:rsid w:val="00AA1473"/>
    <w:rsid w:val="00AA1E22"/>
    <w:rsid w:val="00AA23FF"/>
    <w:rsid w:val="00AA3888"/>
    <w:rsid w:val="00AA55FB"/>
    <w:rsid w:val="00AA6ACB"/>
    <w:rsid w:val="00AB2668"/>
    <w:rsid w:val="00AB39CE"/>
    <w:rsid w:val="00AB59CD"/>
    <w:rsid w:val="00AB7B2A"/>
    <w:rsid w:val="00AB7EF7"/>
    <w:rsid w:val="00AC01E5"/>
    <w:rsid w:val="00AC0629"/>
    <w:rsid w:val="00AC435D"/>
    <w:rsid w:val="00AC48FB"/>
    <w:rsid w:val="00AC4A6A"/>
    <w:rsid w:val="00AC72D7"/>
    <w:rsid w:val="00AD0D2E"/>
    <w:rsid w:val="00AD283B"/>
    <w:rsid w:val="00AD2CF2"/>
    <w:rsid w:val="00AD30C4"/>
    <w:rsid w:val="00AD3EF5"/>
    <w:rsid w:val="00AD5659"/>
    <w:rsid w:val="00AE2162"/>
    <w:rsid w:val="00AE3C63"/>
    <w:rsid w:val="00AF14C9"/>
    <w:rsid w:val="00AF3CBF"/>
    <w:rsid w:val="00AF5358"/>
    <w:rsid w:val="00AF6DCD"/>
    <w:rsid w:val="00AF7A6D"/>
    <w:rsid w:val="00B05598"/>
    <w:rsid w:val="00B135C5"/>
    <w:rsid w:val="00B15D65"/>
    <w:rsid w:val="00B15F0B"/>
    <w:rsid w:val="00B16049"/>
    <w:rsid w:val="00B162CF"/>
    <w:rsid w:val="00B20FB5"/>
    <w:rsid w:val="00B2170E"/>
    <w:rsid w:val="00B21C41"/>
    <w:rsid w:val="00B22752"/>
    <w:rsid w:val="00B24E7C"/>
    <w:rsid w:val="00B3490B"/>
    <w:rsid w:val="00B349BB"/>
    <w:rsid w:val="00B34C11"/>
    <w:rsid w:val="00B35398"/>
    <w:rsid w:val="00B35EA0"/>
    <w:rsid w:val="00B36CC7"/>
    <w:rsid w:val="00B37957"/>
    <w:rsid w:val="00B41E3A"/>
    <w:rsid w:val="00B4489E"/>
    <w:rsid w:val="00B452BD"/>
    <w:rsid w:val="00B45FF9"/>
    <w:rsid w:val="00B46885"/>
    <w:rsid w:val="00B47D85"/>
    <w:rsid w:val="00B5323A"/>
    <w:rsid w:val="00B53D1D"/>
    <w:rsid w:val="00B5593E"/>
    <w:rsid w:val="00B57BA0"/>
    <w:rsid w:val="00B57C45"/>
    <w:rsid w:val="00B60EE3"/>
    <w:rsid w:val="00B61708"/>
    <w:rsid w:val="00B63FCC"/>
    <w:rsid w:val="00B671AF"/>
    <w:rsid w:val="00B67819"/>
    <w:rsid w:val="00B73B82"/>
    <w:rsid w:val="00B73F0E"/>
    <w:rsid w:val="00B74909"/>
    <w:rsid w:val="00B76494"/>
    <w:rsid w:val="00B80423"/>
    <w:rsid w:val="00B80C55"/>
    <w:rsid w:val="00B814A6"/>
    <w:rsid w:val="00B82B84"/>
    <w:rsid w:val="00B83F05"/>
    <w:rsid w:val="00B85BBE"/>
    <w:rsid w:val="00B86628"/>
    <w:rsid w:val="00B91685"/>
    <w:rsid w:val="00BA174A"/>
    <w:rsid w:val="00BA3525"/>
    <w:rsid w:val="00BA5406"/>
    <w:rsid w:val="00BA707F"/>
    <w:rsid w:val="00BB43A8"/>
    <w:rsid w:val="00BB5762"/>
    <w:rsid w:val="00BB60BE"/>
    <w:rsid w:val="00BB6B41"/>
    <w:rsid w:val="00BC28D1"/>
    <w:rsid w:val="00BC4F88"/>
    <w:rsid w:val="00BC588D"/>
    <w:rsid w:val="00BC7C33"/>
    <w:rsid w:val="00BD1499"/>
    <w:rsid w:val="00BD15E0"/>
    <w:rsid w:val="00BD66B5"/>
    <w:rsid w:val="00BE1EAF"/>
    <w:rsid w:val="00BE2722"/>
    <w:rsid w:val="00BE3D9C"/>
    <w:rsid w:val="00BE41AA"/>
    <w:rsid w:val="00BE6BB4"/>
    <w:rsid w:val="00BF3F5E"/>
    <w:rsid w:val="00BF6B9C"/>
    <w:rsid w:val="00C000D2"/>
    <w:rsid w:val="00C00417"/>
    <w:rsid w:val="00C00895"/>
    <w:rsid w:val="00C00C5B"/>
    <w:rsid w:val="00C00DC8"/>
    <w:rsid w:val="00C03026"/>
    <w:rsid w:val="00C03311"/>
    <w:rsid w:val="00C039C6"/>
    <w:rsid w:val="00C03A82"/>
    <w:rsid w:val="00C07674"/>
    <w:rsid w:val="00C12700"/>
    <w:rsid w:val="00C12AE8"/>
    <w:rsid w:val="00C15543"/>
    <w:rsid w:val="00C157CA"/>
    <w:rsid w:val="00C15B4D"/>
    <w:rsid w:val="00C22B0D"/>
    <w:rsid w:val="00C27D8E"/>
    <w:rsid w:val="00C31D5C"/>
    <w:rsid w:val="00C373D5"/>
    <w:rsid w:val="00C374B7"/>
    <w:rsid w:val="00C37A5C"/>
    <w:rsid w:val="00C37B77"/>
    <w:rsid w:val="00C41B4E"/>
    <w:rsid w:val="00C43FD8"/>
    <w:rsid w:val="00C454D5"/>
    <w:rsid w:val="00C45DA5"/>
    <w:rsid w:val="00C46145"/>
    <w:rsid w:val="00C462AA"/>
    <w:rsid w:val="00C46B53"/>
    <w:rsid w:val="00C46D86"/>
    <w:rsid w:val="00C47860"/>
    <w:rsid w:val="00C4789A"/>
    <w:rsid w:val="00C47F62"/>
    <w:rsid w:val="00C54B46"/>
    <w:rsid w:val="00C558A1"/>
    <w:rsid w:val="00C61833"/>
    <w:rsid w:val="00C62C2C"/>
    <w:rsid w:val="00C62C72"/>
    <w:rsid w:val="00C63235"/>
    <w:rsid w:val="00C63DC8"/>
    <w:rsid w:val="00C64255"/>
    <w:rsid w:val="00C67A9C"/>
    <w:rsid w:val="00C704E2"/>
    <w:rsid w:val="00C718C3"/>
    <w:rsid w:val="00C74838"/>
    <w:rsid w:val="00C7663E"/>
    <w:rsid w:val="00C80767"/>
    <w:rsid w:val="00C8116C"/>
    <w:rsid w:val="00C814E3"/>
    <w:rsid w:val="00C81C15"/>
    <w:rsid w:val="00C827B9"/>
    <w:rsid w:val="00C84B0A"/>
    <w:rsid w:val="00C85354"/>
    <w:rsid w:val="00C923C1"/>
    <w:rsid w:val="00C95807"/>
    <w:rsid w:val="00C96D12"/>
    <w:rsid w:val="00CA2109"/>
    <w:rsid w:val="00CA2AB1"/>
    <w:rsid w:val="00CA6D1F"/>
    <w:rsid w:val="00CB17D7"/>
    <w:rsid w:val="00CB28A8"/>
    <w:rsid w:val="00CB397B"/>
    <w:rsid w:val="00CB4FE5"/>
    <w:rsid w:val="00CB6C30"/>
    <w:rsid w:val="00CC0D25"/>
    <w:rsid w:val="00CC27F4"/>
    <w:rsid w:val="00CC53A5"/>
    <w:rsid w:val="00CD1A88"/>
    <w:rsid w:val="00CD1C5B"/>
    <w:rsid w:val="00CD327D"/>
    <w:rsid w:val="00CD394F"/>
    <w:rsid w:val="00CD4479"/>
    <w:rsid w:val="00CD553F"/>
    <w:rsid w:val="00CD76E5"/>
    <w:rsid w:val="00CE1B09"/>
    <w:rsid w:val="00CE587F"/>
    <w:rsid w:val="00CF33B9"/>
    <w:rsid w:val="00CF4BA9"/>
    <w:rsid w:val="00CF68D6"/>
    <w:rsid w:val="00CF77D7"/>
    <w:rsid w:val="00D022A6"/>
    <w:rsid w:val="00D023E0"/>
    <w:rsid w:val="00D036F1"/>
    <w:rsid w:val="00D03A3A"/>
    <w:rsid w:val="00D1363C"/>
    <w:rsid w:val="00D139FF"/>
    <w:rsid w:val="00D13A73"/>
    <w:rsid w:val="00D147BA"/>
    <w:rsid w:val="00D165A5"/>
    <w:rsid w:val="00D20E05"/>
    <w:rsid w:val="00D21420"/>
    <w:rsid w:val="00D24476"/>
    <w:rsid w:val="00D26D86"/>
    <w:rsid w:val="00D302F0"/>
    <w:rsid w:val="00D3197F"/>
    <w:rsid w:val="00D31C75"/>
    <w:rsid w:val="00D33E04"/>
    <w:rsid w:val="00D414F6"/>
    <w:rsid w:val="00D421A7"/>
    <w:rsid w:val="00D4281E"/>
    <w:rsid w:val="00D44A0B"/>
    <w:rsid w:val="00D45BD1"/>
    <w:rsid w:val="00D46DAD"/>
    <w:rsid w:val="00D4728D"/>
    <w:rsid w:val="00D4758A"/>
    <w:rsid w:val="00D478B6"/>
    <w:rsid w:val="00D55084"/>
    <w:rsid w:val="00D56551"/>
    <w:rsid w:val="00D57D8F"/>
    <w:rsid w:val="00D6060F"/>
    <w:rsid w:val="00D61178"/>
    <w:rsid w:val="00D6234D"/>
    <w:rsid w:val="00D62EAF"/>
    <w:rsid w:val="00D6301B"/>
    <w:rsid w:val="00D6572D"/>
    <w:rsid w:val="00D7044D"/>
    <w:rsid w:val="00D70DDD"/>
    <w:rsid w:val="00D72D92"/>
    <w:rsid w:val="00D76EAC"/>
    <w:rsid w:val="00D8021B"/>
    <w:rsid w:val="00D81AEA"/>
    <w:rsid w:val="00D8284A"/>
    <w:rsid w:val="00D84D88"/>
    <w:rsid w:val="00D851DA"/>
    <w:rsid w:val="00D97053"/>
    <w:rsid w:val="00DA07EE"/>
    <w:rsid w:val="00DA26FC"/>
    <w:rsid w:val="00DA32C0"/>
    <w:rsid w:val="00DA685E"/>
    <w:rsid w:val="00DA6ACB"/>
    <w:rsid w:val="00DA6D09"/>
    <w:rsid w:val="00DA6DA9"/>
    <w:rsid w:val="00DB00DC"/>
    <w:rsid w:val="00DB05D8"/>
    <w:rsid w:val="00DB2B2C"/>
    <w:rsid w:val="00DB40E7"/>
    <w:rsid w:val="00DB4D51"/>
    <w:rsid w:val="00DB5431"/>
    <w:rsid w:val="00DB5480"/>
    <w:rsid w:val="00DB7F1B"/>
    <w:rsid w:val="00DC01F1"/>
    <w:rsid w:val="00DC1F78"/>
    <w:rsid w:val="00DC54F1"/>
    <w:rsid w:val="00DC59A6"/>
    <w:rsid w:val="00DC5C1E"/>
    <w:rsid w:val="00DC6D94"/>
    <w:rsid w:val="00DC7FB9"/>
    <w:rsid w:val="00DD095D"/>
    <w:rsid w:val="00DD1FE5"/>
    <w:rsid w:val="00DD2589"/>
    <w:rsid w:val="00DD4D98"/>
    <w:rsid w:val="00DD4E55"/>
    <w:rsid w:val="00DD5327"/>
    <w:rsid w:val="00DD5660"/>
    <w:rsid w:val="00DD6445"/>
    <w:rsid w:val="00DE24B3"/>
    <w:rsid w:val="00DE4C29"/>
    <w:rsid w:val="00DE4E46"/>
    <w:rsid w:val="00DF03A1"/>
    <w:rsid w:val="00DF1866"/>
    <w:rsid w:val="00DF4454"/>
    <w:rsid w:val="00DF4BCB"/>
    <w:rsid w:val="00E0010A"/>
    <w:rsid w:val="00E0378E"/>
    <w:rsid w:val="00E06396"/>
    <w:rsid w:val="00E12CAA"/>
    <w:rsid w:val="00E139BF"/>
    <w:rsid w:val="00E14971"/>
    <w:rsid w:val="00E16123"/>
    <w:rsid w:val="00E162AE"/>
    <w:rsid w:val="00E20779"/>
    <w:rsid w:val="00E20FC9"/>
    <w:rsid w:val="00E22DE6"/>
    <w:rsid w:val="00E23B7F"/>
    <w:rsid w:val="00E24632"/>
    <w:rsid w:val="00E24C2D"/>
    <w:rsid w:val="00E24FC2"/>
    <w:rsid w:val="00E2650C"/>
    <w:rsid w:val="00E2779D"/>
    <w:rsid w:val="00E300BE"/>
    <w:rsid w:val="00E308D0"/>
    <w:rsid w:val="00E33B7E"/>
    <w:rsid w:val="00E37CE3"/>
    <w:rsid w:val="00E42189"/>
    <w:rsid w:val="00E439C1"/>
    <w:rsid w:val="00E452AD"/>
    <w:rsid w:val="00E46BEB"/>
    <w:rsid w:val="00E46F80"/>
    <w:rsid w:val="00E50B6F"/>
    <w:rsid w:val="00E51EE1"/>
    <w:rsid w:val="00E5220A"/>
    <w:rsid w:val="00E52627"/>
    <w:rsid w:val="00E540A8"/>
    <w:rsid w:val="00E67399"/>
    <w:rsid w:val="00E71386"/>
    <w:rsid w:val="00E72FE3"/>
    <w:rsid w:val="00E754E9"/>
    <w:rsid w:val="00E76FE8"/>
    <w:rsid w:val="00E77C14"/>
    <w:rsid w:val="00E83674"/>
    <w:rsid w:val="00E844E9"/>
    <w:rsid w:val="00E847A4"/>
    <w:rsid w:val="00E85C2A"/>
    <w:rsid w:val="00E86390"/>
    <w:rsid w:val="00E90005"/>
    <w:rsid w:val="00E91F82"/>
    <w:rsid w:val="00E92402"/>
    <w:rsid w:val="00E95E97"/>
    <w:rsid w:val="00E96CD2"/>
    <w:rsid w:val="00EA1359"/>
    <w:rsid w:val="00EA3A15"/>
    <w:rsid w:val="00EA45AB"/>
    <w:rsid w:val="00EA4714"/>
    <w:rsid w:val="00EA65C6"/>
    <w:rsid w:val="00EA7D83"/>
    <w:rsid w:val="00EB204E"/>
    <w:rsid w:val="00EB2D0F"/>
    <w:rsid w:val="00EB42A3"/>
    <w:rsid w:val="00EB4613"/>
    <w:rsid w:val="00EB5DFA"/>
    <w:rsid w:val="00EB7FE3"/>
    <w:rsid w:val="00EC021A"/>
    <w:rsid w:val="00EC0692"/>
    <w:rsid w:val="00EC0F85"/>
    <w:rsid w:val="00EC2856"/>
    <w:rsid w:val="00EC2A86"/>
    <w:rsid w:val="00EC4135"/>
    <w:rsid w:val="00EC5001"/>
    <w:rsid w:val="00EC6F77"/>
    <w:rsid w:val="00ED0603"/>
    <w:rsid w:val="00ED1DEE"/>
    <w:rsid w:val="00ED2E97"/>
    <w:rsid w:val="00ED507A"/>
    <w:rsid w:val="00ED5D16"/>
    <w:rsid w:val="00EE053E"/>
    <w:rsid w:val="00EE0EFF"/>
    <w:rsid w:val="00EE26F4"/>
    <w:rsid w:val="00EE3714"/>
    <w:rsid w:val="00EE49B6"/>
    <w:rsid w:val="00EF3C7D"/>
    <w:rsid w:val="00EF4360"/>
    <w:rsid w:val="00EF4A95"/>
    <w:rsid w:val="00EF50E1"/>
    <w:rsid w:val="00EF6EE5"/>
    <w:rsid w:val="00F056A9"/>
    <w:rsid w:val="00F065AC"/>
    <w:rsid w:val="00F07878"/>
    <w:rsid w:val="00F10F66"/>
    <w:rsid w:val="00F14E8E"/>
    <w:rsid w:val="00F1503D"/>
    <w:rsid w:val="00F16563"/>
    <w:rsid w:val="00F212F1"/>
    <w:rsid w:val="00F23BC9"/>
    <w:rsid w:val="00F24699"/>
    <w:rsid w:val="00F268E9"/>
    <w:rsid w:val="00F27D54"/>
    <w:rsid w:val="00F326E7"/>
    <w:rsid w:val="00F3508C"/>
    <w:rsid w:val="00F36B3B"/>
    <w:rsid w:val="00F47287"/>
    <w:rsid w:val="00F47A05"/>
    <w:rsid w:val="00F52006"/>
    <w:rsid w:val="00F63728"/>
    <w:rsid w:val="00F7303B"/>
    <w:rsid w:val="00F7468E"/>
    <w:rsid w:val="00F80E00"/>
    <w:rsid w:val="00F815AE"/>
    <w:rsid w:val="00F8392E"/>
    <w:rsid w:val="00F9091F"/>
    <w:rsid w:val="00F90F77"/>
    <w:rsid w:val="00F924F0"/>
    <w:rsid w:val="00FA2275"/>
    <w:rsid w:val="00FB23F8"/>
    <w:rsid w:val="00FB2A34"/>
    <w:rsid w:val="00FB3FDB"/>
    <w:rsid w:val="00FB6FCE"/>
    <w:rsid w:val="00FB7A70"/>
    <w:rsid w:val="00FC0560"/>
    <w:rsid w:val="00FC197F"/>
    <w:rsid w:val="00FC37A2"/>
    <w:rsid w:val="00FC47D6"/>
    <w:rsid w:val="00FC48A0"/>
    <w:rsid w:val="00FC68F9"/>
    <w:rsid w:val="00FC793B"/>
    <w:rsid w:val="00FC7A4A"/>
    <w:rsid w:val="00FC7F05"/>
    <w:rsid w:val="00FD0CE4"/>
    <w:rsid w:val="00FD0E37"/>
    <w:rsid w:val="00FD40C9"/>
    <w:rsid w:val="00FD64CE"/>
    <w:rsid w:val="00FE0090"/>
    <w:rsid w:val="00FE1734"/>
    <w:rsid w:val="00FE2DE5"/>
    <w:rsid w:val="00FE31B6"/>
    <w:rsid w:val="00FE3CFD"/>
    <w:rsid w:val="00FE5616"/>
    <w:rsid w:val="00FE76DD"/>
    <w:rsid w:val="00FE7F16"/>
    <w:rsid w:val="00FF05EA"/>
    <w:rsid w:val="00FF419E"/>
    <w:rsid w:val="00FF7717"/>
    <w:rsid w:val="03A0A3F9"/>
    <w:rsid w:val="045A3BC0"/>
    <w:rsid w:val="063A6218"/>
    <w:rsid w:val="06A56F8E"/>
    <w:rsid w:val="07A25AE7"/>
    <w:rsid w:val="09782A7F"/>
    <w:rsid w:val="097BD656"/>
    <w:rsid w:val="0B674103"/>
    <w:rsid w:val="0B721931"/>
    <w:rsid w:val="0CBCDC23"/>
    <w:rsid w:val="0DB106CE"/>
    <w:rsid w:val="0DD349BD"/>
    <w:rsid w:val="0E8E94AF"/>
    <w:rsid w:val="1049A629"/>
    <w:rsid w:val="10C0DF28"/>
    <w:rsid w:val="11219F11"/>
    <w:rsid w:val="13A2D9E2"/>
    <w:rsid w:val="151C3697"/>
    <w:rsid w:val="16634E1B"/>
    <w:rsid w:val="1881153C"/>
    <w:rsid w:val="18E56471"/>
    <w:rsid w:val="193A9B45"/>
    <w:rsid w:val="19DD4AA0"/>
    <w:rsid w:val="1A70C870"/>
    <w:rsid w:val="1AE9E16A"/>
    <w:rsid w:val="1BFA3282"/>
    <w:rsid w:val="20985A10"/>
    <w:rsid w:val="2126A577"/>
    <w:rsid w:val="2209E447"/>
    <w:rsid w:val="2357CE7C"/>
    <w:rsid w:val="241EC09F"/>
    <w:rsid w:val="24E7BBB6"/>
    <w:rsid w:val="26420AD1"/>
    <w:rsid w:val="287FEF02"/>
    <w:rsid w:val="291498E9"/>
    <w:rsid w:val="294A2738"/>
    <w:rsid w:val="2B6ED29D"/>
    <w:rsid w:val="2DC8E89D"/>
    <w:rsid w:val="30EC896F"/>
    <w:rsid w:val="321DB892"/>
    <w:rsid w:val="32468576"/>
    <w:rsid w:val="32A06DA2"/>
    <w:rsid w:val="34841A7A"/>
    <w:rsid w:val="34E3123F"/>
    <w:rsid w:val="36E5F47B"/>
    <w:rsid w:val="37817087"/>
    <w:rsid w:val="37E4276D"/>
    <w:rsid w:val="3848894E"/>
    <w:rsid w:val="397F6D8A"/>
    <w:rsid w:val="3B7ADC30"/>
    <w:rsid w:val="3D725EB0"/>
    <w:rsid w:val="408F6AC8"/>
    <w:rsid w:val="4150674E"/>
    <w:rsid w:val="41879162"/>
    <w:rsid w:val="4199298F"/>
    <w:rsid w:val="4353EAB0"/>
    <w:rsid w:val="449B04BA"/>
    <w:rsid w:val="44BBF259"/>
    <w:rsid w:val="44D23408"/>
    <w:rsid w:val="45467B87"/>
    <w:rsid w:val="4571CC7A"/>
    <w:rsid w:val="471160F5"/>
    <w:rsid w:val="472B2247"/>
    <w:rsid w:val="478608A4"/>
    <w:rsid w:val="47B0E3EC"/>
    <w:rsid w:val="481AAFB0"/>
    <w:rsid w:val="49320A49"/>
    <w:rsid w:val="4976A84C"/>
    <w:rsid w:val="4A0D816A"/>
    <w:rsid w:val="4A5AF093"/>
    <w:rsid w:val="4B9FE90B"/>
    <w:rsid w:val="4E2C9E79"/>
    <w:rsid w:val="4E322546"/>
    <w:rsid w:val="51529F89"/>
    <w:rsid w:val="5278A33A"/>
    <w:rsid w:val="55FB2C90"/>
    <w:rsid w:val="5A490138"/>
    <w:rsid w:val="5B7E9492"/>
    <w:rsid w:val="5D4C1C94"/>
    <w:rsid w:val="5FBC4F7A"/>
    <w:rsid w:val="6002C6A8"/>
    <w:rsid w:val="60CC7445"/>
    <w:rsid w:val="61269A29"/>
    <w:rsid w:val="62212850"/>
    <w:rsid w:val="6250EAB6"/>
    <w:rsid w:val="63833B1E"/>
    <w:rsid w:val="63C6AD7F"/>
    <w:rsid w:val="63FB92DC"/>
    <w:rsid w:val="657F31E0"/>
    <w:rsid w:val="6884225C"/>
    <w:rsid w:val="6C13F83C"/>
    <w:rsid w:val="6E324B03"/>
    <w:rsid w:val="6E3FD5D6"/>
    <w:rsid w:val="6E9C6E0D"/>
    <w:rsid w:val="6FCF93B7"/>
    <w:rsid w:val="70A79172"/>
    <w:rsid w:val="70B4034F"/>
    <w:rsid w:val="71C1472C"/>
    <w:rsid w:val="7388DEFB"/>
    <w:rsid w:val="7400B846"/>
    <w:rsid w:val="76B2DDEB"/>
    <w:rsid w:val="789DA8DB"/>
    <w:rsid w:val="7B851677"/>
    <w:rsid w:val="7BC6A721"/>
    <w:rsid w:val="7CD055E9"/>
    <w:rsid w:val="7D4DB572"/>
    <w:rsid w:val="7E05BC48"/>
    <w:rsid w:val="7E0EA90A"/>
    <w:rsid w:val="7F9A6D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34CFD"/>
  <w15:docId w15:val="{E0DCFFDC-F929-4633-B034-F0281DF7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1D26"/>
    <w:rPr>
      <w:color w:val="000000" w:themeColor="text1"/>
    </w:rPr>
  </w:style>
  <w:style w:type="paragraph" w:styleId="Heading1">
    <w:name w:val="heading 1"/>
    <w:basedOn w:val="Normal"/>
    <w:next w:val="Normal"/>
    <w:link w:val="Heading1Char"/>
    <w:uiPriority w:val="9"/>
    <w:qFormat/>
    <w:rsid w:val="00B34C11"/>
    <w:pPr>
      <w:keepNext/>
      <w:keepLines/>
      <w:numPr>
        <w:numId w:val="1"/>
      </w:numPr>
      <w:spacing w:before="240" w:after="0" w:line="192" w:lineRule="auto"/>
      <w:outlineLvl w:val="0"/>
    </w:pPr>
    <w:rPr>
      <w:rFonts w:ascii="Montserrat" w:eastAsiaTheme="majorEastAsia" w:hAnsi="Montserrat" w:cstheme="majorBidi"/>
      <w:b/>
      <w:color w:val="283583"/>
      <w:sz w:val="40"/>
      <w:szCs w:val="60"/>
    </w:rPr>
  </w:style>
  <w:style w:type="paragraph" w:styleId="Heading2">
    <w:name w:val="heading 2"/>
    <w:basedOn w:val="Normal"/>
    <w:next w:val="Normal"/>
    <w:link w:val="Heading2Char"/>
    <w:uiPriority w:val="9"/>
    <w:unhideWhenUsed/>
    <w:rsid w:val="00F47287"/>
    <w:pPr>
      <w:keepNext/>
      <w:keepLines/>
      <w:spacing w:before="40" w:after="0"/>
      <w:outlineLvl w:val="1"/>
    </w:pPr>
    <w:rPr>
      <w:rFonts w:asciiTheme="majorHAnsi" w:eastAsiaTheme="majorEastAsia" w:hAnsiTheme="majorHAnsi" w:cstheme="majorBidi"/>
      <w:color w:val="005289" w:themeColor="accent1" w:themeShade="BF"/>
      <w:sz w:val="26"/>
      <w:szCs w:val="26"/>
    </w:rPr>
  </w:style>
  <w:style w:type="paragraph" w:styleId="Heading3">
    <w:name w:val="heading 3"/>
    <w:basedOn w:val="Normal"/>
    <w:next w:val="Normal"/>
    <w:link w:val="Heading3Char"/>
    <w:uiPriority w:val="9"/>
    <w:semiHidden/>
    <w:unhideWhenUsed/>
    <w:qFormat/>
    <w:rsid w:val="00F47287"/>
    <w:pPr>
      <w:keepNext/>
      <w:keepLines/>
      <w:spacing w:before="40" w:after="0"/>
      <w:outlineLvl w:val="2"/>
    </w:pPr>
    <w:rPr>
      <w:rFonts w:asciiTheme="majorHAnsi" w:eastAsiaTheme="majorEastAsia" w:hAnsiTheme="majorHAnsi" w:cstheme="majorBidi"/>
      <w:color w:val="00365B" w:themeColor="accent1" w:themeShade="7F"/>
      <w:sz w:val="24"/>
      <w:szCs w:val="24"/>
    </w:rPr>
  </w:style>
  <w:style w:type="paragraph" w:styleId="Heading4">
    <w:name w:val="heading 4"/>
    <w:basedOn w:val="Normal"/>
    <w:next w:val="Normal"/>
    <w:link w:val="Heading4Char"/>
    <w:uiPriority w:val="9"/>
    <w:semiHidden/>
    <w:unhideWhenUsed/>
    <w:qFormat/>
    <w:rsid w:val="00F47287"/>
    <w:pPr>
      <w:keepNext/>
      <w:keepLines/>
      <w:spacing w:before="40" w:after="0"/>
      <w:outlineLvl w:val="3"/>
    </w:pPr>
    <w:rPr>
      <w:rFonts w:asciiTheme="majorHAnsi" w:eastAsiaTheme="majorEastAsia" w:hAnsiTheme="majorHAnsi" w:cstheme="majorBidi"/>
      <w:i/>
      <w:iCs/>
      <w:color w:val="00528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orysSectionLevel01">
    <w:name w:val="Ecorys Section Level 01"/>
    <w:basedOn w:val="Heading1"/>
    <w:next w:val="EcorysLeadInText"/>
    <w:qFormat/>
    <w:rsid w:val="001C2C94"/>
  </w:style>
  <w:style w:type="paragraph" w:customStyle="1" w:styleId="EcorysSectionLevel02">
    <w:name w:val="Ecorys Section Level 02"/>
    <w:qFormat/>
    <w:rsid w:val="004929D7"/>
    <w:pPr>
      <w:keepNext/>
      <w:numPr>
        <w:ilvl w:val="1"/>
        <w:numId w:val="1"/>
      </w:numPr>
      <w:spacing w:before="480" w:after="120" w:line="192" w:lineRule="auto"/>
      <w:outlineLvl w:val="1"/>
    </w:pPr>
    <w:rPr>
      <w:rFonts w:ascii="Montserrat" w:hAnsi="Montserrat"/>
      <w:b/>
      <w:noProof/>
      <w:color w:val="006EB8"/>
      <w:sz w:val="32"/>
      <w:szCs w:val="32"/>
    </w:rPr>
  </w:style>
  <w:style w:type="paragraph" w:customStyle="1" w:styleId="EcorysSectionLevel03">
    <w:name w:val="Ecorys Section Level 03"/>
    <w:qFormat/>
    <w:rsid w:val="006D13C5"/>
    <w:pPr>
      <w:keepNext/>
      <w:numPr>
        <w:ilvl w:val="2"/>
        <w:numId w:val="1"/>
      </w:numPr>
      <w:spacing w:before="480" w:after="180" w:line="192" w:lineRule="auto"/>
      <w:outlineLvl w:val="2"/>
    </w:pPr>
    <w:rPr>
      <w:rFonts w:ascii="Montserrat" w:hAnsi="Montserrat"/>
      <w:b/>
      <w:color w:val="006EB8"/>
      <w:sz w:val="28"/>
      <w:szCs w:val="24"/>
    </w:rPr>
  </w:style>
  <w:style w:type="paragraph" w:customStyle="1" w:styleId="EcorysSectionLevel04">
    <w:name w:val="Ecorys Section Level 04"/>
    <w:qFormat/>
    <w:rsid w:val="006D13C5"/>
    <w:pPr>
      <w:keepNext/>
      <w:numPr>
        <w:ilvl w:val="3"/>
        <w:numId w:val="1"/>
      </w:numPr>
      <w:spacing w:before="480" w:after="180" w:line="192" w:lineRule="auto"/>
      <w:outlineLvl w:val="3"/>
    </w:pPr>
    <w:rPr>
      <w:rFonts w:ascii="Montserrat" w:hAnsi="Montserrat"/>
      <w:b/>
      <w:color w:val="006EB8"/>
      <w:sz w:val="24"/>
      <w:szCs w:val="24"/>
    </w:rPr>
  </w:style>
  <w:style w:type="paragraph" w:customStyle="1" w:styleId="EcorysBody">
    <w:name w:val="Ecorys Body"/>
    <w:link w:val="EcorysBodyChar"/>
    <w:qFormat/>
    <w:rsid w:val="001F386C"/>
    <w:pPr>
      <w:spacing w:after="180" w:line="264" w:lineRule="auto"/>
    </w:pPr>
    <w:rPr>
      <w:rFonts w:ascii="Open Sans Light" w:hAnsi="Open Sans Light" w:cs="Open Sans Light"/>
      <w:sz w:val="18"/>
      <w:szCs w:val="20"/>
    </w:rPr>
  </w:style>
  <w:style w:type="paragraph" w:customStyle="1" w:styleId="EcorysLeadInText">
    <w:name w:val="Ecorys Lead In Text"/>
    <w:next w:val="EcorysBody"/>
    <w:qFormat/>
    <w:rsid w:val="00FE76DD"/>
    <w:pPr>
      <w:spacing w:before="180" w:after="240" w:line="240" w:lineRule="auto"/>
    </w:pPr>
    <w:rPr>
      <w:rFonts w:ascii="Montserrat" w:hAnsi="Montserrat" w:cs="Open Sans Light"/>
      <w:noProof/>
      <w:color w:val="006EB8"/>
      <w:sz w:val="28"/>
      <w:szCs w:val="28"/>
    </w:rPr>
  </w:style>
  <w:style w:type="paragraph" w:customStyle="1" w:styleId="EcorysH1">
    <w:name w:val="Ecorys H1"/>
    <w:next w:val="EcorysLeadInText"/>
    <w:qFormat/>
    <w:rsid w:val="00FE76DD"/>
    <w:pPr>
      <w:keepNext/>
      <w:spacing w:before="480" w:after="180" w:line="192" w:lineRule="auto"/>
      <w:outlineLvl w:val="0"/>
    </w:pPr>
    <w:rPr>
      <w:rFonts w:ascii="Montserrat" w:hAnsi="Montserrat"/>
      <w:b/>
      <w:color w:val="283583"/>
      <w:sz w:val="48"/>
      <w:szCs w:val="48"/>
    </w:rPr>
  </w:style>
  <w:style w:type="paragraph" w:customStyle="1" w:styleId="EcorysH2">
    <w:name w:val="Ecorys H2"/>
    <w:next w:val="EcorysBody"/>
    <w:qFormat/>
    <w:rsid w:val="00B452BD"/>
    <w:pPr>
      <w:keepNext/>
      <w:spacing w:before="480" w:after="120" w:line="240" w:lineRule="auto"/>
      <w:outlineLvl w:val="1"/>
    </w:pPr>
    <w:rPr>
      <w:rFonts w:ascii="Montserrat" w:hAnsi="Montserrat" w:cs="Open Sans Light"/>
      <w:b/>
      <w:color w:val="006EB8"/>
      <w:sz w:val="32"/>
      <w:szCs w:val="48"/>
    </w:rPr>
  </w:style>
  <w:style w:type="paragraph" w:customStyle="1" w:styleId="EcorysH3">
    <w:name w:val="Ecorys H3"/>
    <w:next w:val="EcorysBody"/>
    <w:qFormat/>
    <w:rsid w:val="00B452BD"/>
    <w:pPr>
      <w:keepNext/>
      <w:spacing w:before="480" w:after="120" w:line="192" w:lineRule="auto"/>
      <w:outlineLvl w:val="2"/>
    </w:pPr>
    <w:rPr>
      <w:rFonts w:ascii="Montserrat" w:hAnsi="Montserrat" w:cs="Open Sans Light"/>
      <w:b/>
      <w:color w:val="006EB8"/>
      <w:sz w:val="28"/>
      <w:szCs w:val="36"/>
    </w:rPr>
  </w:style>
  <w:style w:type="paragraph" w:customStyle="1" w:styleId="EcorysH4">
    <w:name w:val="Ecorys H4"/>
    <w:next w:val="EcorysBody"/>
    <w:link w:val="EcorysH4Char"/>
    <w:qFormat/>
    <w:rsid w:val="00B452BD"/>
    <w:pPr>
      <w:keepNext/>
      <w:spacing w:before="480" w:after="60" w:line="192" w:lineRule="auto"/>
      <w:outlineLvl w:val="3"/>
    </w:pPr>
    <w:rPr>
      <w:rFonts w:ascii="Montserrat" w:hAnsi="Montserrat" w:cs="Open Sans Light"/>
      <w:b/>
      <w:color w:val="006EB8"/>
      <w:sz w:val="24"/>
      <w:szCs w:val="28"/>
    </w:rPr>
  </w:style>
  <w:style w:type="paragraph" w:customStyle="1" w:styleId="EcorysH5">
    <w:name w:val="Ecorys H5"/>
    <w:next w:val="EcorysBody"/>
    <w:qFormat/>
    <w:rsid w:val="00B452BD"/>
    <w:pPr>
      <w:keepNext/>
      <w:spacing w:before="480" w:after="60" w:line="192" w:lineRule="auto"/>
      <w:outlineLvl w:val="4"/>
    </w:pPr>
    <w:rPr>
      <w:rFonts w:ascii="Montserrat" w:hAnsi="Montserrat" w:cs="Open Sans Light"/>
      <w:color w:val="006EB8"/>
      <w:sz w:val="24"/>
      <w:szCs w:val="24"/>
    </w:rPr>
  </w:style>
  <w:style w:type="paragraph" w:customStyle="1" w:styleId="EcorysH6">
    <w:name w:val="Ecorys H6"/>
    <w:next w:val="EcorysBody"/>
    <w:qFormat/>
    <w:rsid w:val="00B452BD"/>
    <w:pPr>
      <w:keepNext/>
      <w:spacing w:before="480" w:after="60" w:line="192" w:lineRule="auto"/>
      <w:outlineLvl w:val="5"/>
    </w:pPr>
    <w:rPr>
      <w:rFonts w:ascii="Montserrat" w:hAnsi="Montserrat" w:cs="Open Sans Light"/>
      <w:color w:val="006EB8"/>
      <w:sz w:val="20"/>
      <w:szCs w:val="20"/>
    </w:rPr>
  </w:style>
  <w:style w:type="paragraph" w:customStyle="1" w:styleId="EcorysNumberedBullet01">
    <w:name w:val="Ecorys Numbered Bullet 01"/>
    <w:basedOn w:val="EcorysBody"/>
    <w:qFormat/>
    <w:rsid w:val="00CD76E5"/>
    <w:pPr>
      <w:numPr>
        <w:numId w:val="10"/>
      </w:numPr>
      <w:spacing w:before="120" w:after="120"/>
      <w:ind w:left="568" w:hanging="284"/>
    </w:pPr>
  </w:style>
  <w:style w:type="paragraph" w:customStyle="1" w:styleId="EcorysNumberedBullet02">
    <w:name w:val="Ecorys Numbered Bullet 02"/>
    <w:basedOn w:val="EcorysNumberedBullet01"/>
    <w:qFormat/>
    <w:rsid w:val="00CD76E5"/>
    <w:pPr>
      <w:numPr>
        <w:ilvl w:val="1"/>
      </w:numPr>
      <w:spacing w:before="0" w:after="60"/>
      <w:ind w:left="851"/>
    </w:pPr>
  </w:style>
  <w:style w:type="paragraph" w:styleId="FootnoteText">
    <w:name w:val="footnote text"/>
    <w:basedOn w:val="Normal"/>
    <w:link w:val="FootnoteTextChar"/>
    <w:uiPriority w:val="99"/>
    <w:semiHidden/>
    <w:unhideWhenUsed/>
    <w:qFormat/>
    <w:rsid w:val="004E4D65"/>
    <w:pPr>
      <w:spacing w:after="0" w:line="240" w:lineRule="auto"/>
    </w:pPr>
    <w:rPr>
      <w:sz w:val="20"/>
      <w:szCs w:val="20"/>
    </w:rPr>
  </w:style>
  <w:style w:type="paragraph" w:customStyle="1" w:styleId="EcorysFolioNumber">
    <w:name w:val="Ecorys Folio Number"/>
    <w:link w:val="EcorysFolioNumberChar"/>
    <w:qFormat/>
    <w:rsid w:val="00ED2E97"/>
    <w:pPr>
      <w:jc w:val="right"/>
    </w:pPr>
    <w:rPr>
      <w:rFonts w:ascii="Montserrat" w:hAnsi="Montserrat"/>
      <w:color w:val="006EB8"/>
      <w:sz w:val="28"/>
      <w:szCs w:val="28"/>
    </w:rPr>
  </w:style>
  <w:style w:type="paragraph" w:styleId="NormalWeb">
    <w:name w:val="Normal (Web)"/>
    <w:basedOn w:val="Normal"/>
    <w:uiPriority w:val="99"/>
    <w:unhideWhenUsed/>
    <w:rsid w:val="00CF77D7"/>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19574E"/>
    <w:rPr>
      <w:sz w:val="16"/>
      <w:szCs w:val="16"/>
    </w:rPr>
  </w:style>
  <w:style w:type="paragraph" w:styleId="CommentText">
    <w:name w:val="annotation text"/>
    <w:basedOn w:val="Normal"/>
    <w:link w:val="CommentTextChar"/>
    <w:uiPriority w:val="99"/>
    <w:unhideWhenUsed/>
    <w:rsid w:val="0019574E"/>
    <w:pPr>
      <w:spacing w:line="240" w:lineRule="auto"/>
    </w:pPr>
    <w:rPr>
      <w:sz w:val="20"/>
      <w:szCs w:val="20"/>
    </w:rPr>
  </w:style>
  <w:style w:type="character" w:customStyle="1" w:styleId="CommentTextChar">
    <w:name w:val="Comment Text Char"/>
    <w:basedOn w:val="DefaultParagraphFont"/>
    <w:link w:val="CommentText"/>
    <w:uiPriority w:val="99"/>
    <w:rsid w:val="0019574E"/>
    <w:rPr>
      <w:sz w:val="20"/>
      <w:szCs w:val="20"/>
    </w:rPr>
  </w:style>
  <w:style w:type="character" w:customStyle="1" w:styleId="EcorysFolioNumberChar">
    <w:name w:val="Ecorys Folio Number Char"/>
    <w:basedOn w:val="DefaultParagraphFont"/>
    <w:link w:val="EcorysFolioNumber"/>
    <w:rsid w:val="00ED2E97"/>
    <w:rPr>
      <w:rFonts w:ascii="Montserrat" w:hAnsi="Montserrat"/>
      <w:color w:val="006EB8"/>
      <w:sz w:val="28"/>
      <w:szCs w:val="28"/>
    </w:rPr>
  </w:style>
  <w:style w:type="character" w:customStyle="1" w:styleId="Heading1Char">
    <w:name w:val="Heading 1 Char"/>
    <w:basedOn w:val="DefaultParagraphFont"/>
    <w:link w:val="Heading1"/>
    <w:uiPriority w:val="9"/>
    <w:rsid w:val="00B34C11"/>
    <w:rPr>
      <w:rFonts w:ascii="Montserrat" w:eastAsiaTheme="majorEastAsia" w:hAnsi="Montserrat" w:cstheme="majorBidi"/>
      <w:b/>
      <w:color w:val="283583"/>
      <w:sz w:val="40"/>
      <w:szCs w:val="60"/>
    </w:rPr>
  </w:style>
  <w:style w:type="character" w:customStyle="1" w:styleId="Heading2Char">
    <w:name w:val="Heading 2 Char"/>
    <w:basedOn w:val="DefaultParagraphFont"/>
    <w:link w:val="Heading2"/>
    <w:uiPriority w:val="9"/>
    <w:rsid w:val="00F47287"/>
    <w:rPr>
      <w:rFonts w:asciiTheme="majorHAnsi" w:eastAsiaTheme="majorEastAsia" w:hAnsiTheme="majorHAnsi" w:cstheme="majorBidi"/>
      <w:color w:val="005289" w:themeColor="accent1" w:themeShade="BF"/>
      <w:sz w:val="26"/>
      <w:szCs w:val="26"/>
    </w:rPr>
  </w:style>
  <w:style w:type="character" w:customStyle="1" w:styleId="Heading3Char">
    <w:name w:val="Heading 3 Char"/>
    <w:basedOn w:val="DefaultParagraphFont"/>
    <w:link w:val="Heading3"/>
    <w:uiPriority w:val="9"/>
    <w:semiHidden/>
    <w:rsid w:val="00F47287"/>
    <w:rPr>
      <w:rFonts w:asciiTheme="majorHAnsi" w:eastAsiaTheme="majorEastAsia" w:hAnsiTheme="majorHAnsi" w:cstheme="majorBidi"/>
      <w:color w:val="00365B" w:themeColor="accent1" w:themeShade="7F"/>
      <w:sz w:val="24"/>
      <w:szCs w:val="24"/>
    </w:rPr>
  </w:style>
  <w:style w:type="character" w:customStyle="1" w:styleId="Heading4Char">
    <w:name w:val="Heading 4 Char"/>
    <w:basedOn w:val="DefaultParagraphFont"/>
    <w:link w:val="Heading4"/>
    <w:uiPriority w:val="9"/>
    <w:semiHidden/>
    <w:rsid w:val="00F47287"/>
    <w:rPr>
      <w:rFonts w:asciiTheme="majorHAnsi" w:eastAsiaTheme="majorEastAsia" w:hAnsiTheme="majorHAnsi" w:cstheme="majorBidi"/>
      <w:i/>
      <w:iCs/>
      <w:color w:val="005289" w:themeColor="accent1" w:themeShade="BF"/>
    </w:rPr>
  </w:style>
  <w:style w:type="paragraph" w:styleId="TOC2">
    <w:name w:val="toc 2"/>
    <w:autoRedefine/>
    <w:uiPriority w:val="39"/>
    <w:unhideWhenUsed/>
    <w:qFormat/>
    <w:rsid w:val="00B61708"/>
    <w:pPr>
      <w:tabs>
        <w:tab w:val="left" w:pos="1247"/>
        <w:tab w:val="right" w:leader="dot" w:pos="8494"/>
      </w:tabs>
      <w:spacing w:after="100"/>
      <w:ind w:left="794" w:right="851" w:hanging="340"/>
    </w:pPr>
    <w:rPr>
      <w:rFonts w:ascii="Montserrat" w:hAnsi="Montserrat" w:cs="Open Sans Light"/>
      <w:noProof/>
      <w:color w:val="404040" w:themeColor="text1" w:themeTint="BF"/>
      <w:sz w:val="20"/>
      <w:szCs w:val="20"/>
    </w:rPr>
  </w:style>
  <w:style w:type="paragraph" w:styleId="TOC1">
    <w:name w:val="toc 1"/>
    <w:autoRedefine/>
    <w:uiPriority w:val="39"/>
    <w:unhideWhenUsed/>
    <w:rsid w:val="00B61708"/>
    <w:pPr>
      <w:tabs>
        <w:tab w:val="left" w:pos="992"/>
        <w:tab w:val="right" w:leader="dot" w:pos="8494"/>
      </w:tabs>
      <w:spacing w:before="360" w:after="100" w:line="192" w:lineRule="auto"/>
      <w:ind w:left="454" w:hanging="454"/>
    </w:pPr>
    <w:rPr>
      <w:rFonts w:ascii="Montserrat" w:hAnsi="Montserrat" w:cs="Open Sans Light"/>
      <w:b/>
      <w:noProof/>
      <w:color w:val="006EB8"/>
      <w:sz w:val="24"/>
      <w:szCs w:val="20"/>
    </w:rPr>
  </w:style>
  <w:style w:type="paragraph" w:styleId="TOC3">
    <w:name w:val="toc 3"/>
    <w:autoRedefine/>
    <w:uiPriority w:val="39"/>
    <w:unhideWhenUsed/>
    <w:rsid w:val="00B61708"/>
    <w:pPr>
      <w:tabs>
        <w:tab w:val="left" w:pos="1320"/>
        <w:tab w:val="right" w:leader="dot" w:pos="8494"/>
      </w:tabs>
      <w:spacing w:after="100"/>
      <w:ind w:left="1248" w:right="851" w:hanging="454"/>
    </w:pPr>
    <w:rPr>
      <w:rFonts w:ascii="Montserrat" w:hAnsi="Montserrat"/>
      <w:color w:val="404040" w:themeColor="text1" w:themeTint="BF"/>
      <w:sz w:val="20"/>
    </w:rPr>
  </w:style>
  <w:style w:type="paragraph" w:styleId="TOC4">
    <w:name w:val="toc 4"/>
    <w:autoRedefine/>
    <w:uiPriority w:val="39"/>
    <w:unhideWhenUsed/>
    <w:rsid w:val="00B61708"/>
    <w:pPr>
      <w:tabs>
        <w:tab w:val="left" w:leader="dot" w:pos="1259"/>
        <w:tab w:val="right" w:leader="dot" w:pos="8494"/>
      </w:tabs>
      <w:spacing w:after="100"/>
      <w:ind w:left="1814" w:right="851" w:hanging="567"/>
    </w:pPr>
    <w:rPr>
      <w:rFonts w:ascii="Montserrat" w:hAnsi="Montserrat"/>
      <w:color w:val="404040" w:themeColor="text1" w:themeTint="BF"/>
      <w:sz w:val="20"/>
    </w:rPr>
  </w:style>
  <w:style w:type="character" w:styleId="Hyperlink">
    <w:name w:val="Hyperlink"/>
    <w:basedOn w:val="DefaultParagraphFont"/>
    <w:uiPriority w:val="99"/>
    <w:unhideWhenUsed/>
    <w:rsid w:val="00A92BA1"/>
    <w:rPr>
      <w:color w:val="006EB8" w:themeColor="accent1"/>
      <w:u w:val="none"/>
    </w:rPr>
  </w:style>
  <w:style w:type="paragraph" w:styleId="Caption">
    <w:name w:val="caption"/>
    <w:basedOn w:val="Normal"/>
    <w:next w:val="Normal"/>
    <w:uiPriority w:val="35"/>
    <w:unhideWhenUsed/>
    <w:qFormat/>
    <w:rsid w:val="006D13C5"/>
    <w:pPr>
      <w:keepNext/>
      <w:spacing w:before="240" w:after="200" w:line="240" w:lineRule="auto"/>
      <w:ind w:left="1134" w:hanging="1134"/>
    </w:pPr>
    <w:rPr>
      <w:rFonts w:ascii="Montserrat" w:hAnsi="Montserrat"/>
      <w:iCs/>
      <w:color w:val="595959" w:themeColor="text1" w:themeTint="A6"/>
      <w:sz w:val="20"/>
      <w:szCs w:val="18"/>
    </w:rPr>
  </w:style>
  <w:style w:type="character" w:customStyle="1" w:styleId="FootnoteTextChar">
    <w:name w:val="Footnote Text Char"/>
    <w:basedOn w:val="DefaultParagraphFont"/>
    <w:link w:val="FootnoteText"/>
    <w:uiPriority w:val="99"/>
    <w:semiHidden/>
    <w:rsid w:val="004E4D65"/>
    <w:rPr>
      <w:color w:val="000000" w:themeColor="text1"/>
      <w:sz w:val="20"/>
      <w:szCs w:val="20"/>
    </w:rPr>
  </w:style>
  <w:style w:type="paragraph" w:styleId="BodyText">
    <w:name w:val="Body Text"/>
    <w:basedOn w:val="Normal"/>
    <w:link w:val="BodyTextChar"/>
    <w:uiPriority w:val="99"/>
    <w:semiHidden/>
    <w:unhideWhenUsed/>
    <w:rsid w:val="001B6579"/>
    <w:pPr>
      <w:spacing w:after="120"/>
    </w:pPr>
    <w:rPr>
      <w:color w:val="FF0000"/>
    </w:rPr>
  </w:style>
  <w:style w:type="character" w:customStyle="1" w:styleId="EcorysBold">
    <w:name w:val="Ecorys Bold"/>
    <w:qFormat/>
    <w:rsid w:val="00660DA8"/>
    <w:rPr>
      <w:b/>
    </w:rPr>
  </w:style>
  <w:style w:type="character" w:customStyle="1" w:styleId="EcorysItalic">
    <w:name w:val="Ecorys Italic"/>
    <w:rsid w:val="00DD2589"/>
    <w:rPr>
      <w:i/>
    </w:rPr>
  </w:style>
  <w:style w:type="table" w:styleId="TableGrid">
    <w:name w:val="Table Grid"/>
    <w:basedOn w:val="TableNormal"/>
    <w:uiPriority w:val="39"/>
    <w:rsid w:val="002F0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orysTableStyle01">
    <w:name w:val="Ecorys Table Style 01"/>
    <w:basedOn w:val="TableNormal"/>
    <w:uiPriority w:val="99"/>
    <w:rsid w:val="002F057D"/>
    <w:pPr>
      <w:spacing w:after="0" w:line="240" w:lineRule="auto"/>
    </w:pPr>
    <w:tblPr/>
  </w:style>
  <w:style w:type="table" w:styleId="GridTable4-Accent5">
    <w:name w:val="Grid Table 4 Accent 5"/>
    <w:basedOn w:val="TableNormal"/>
    <w:uiPriority w:val="49"/>
    <w:rsid w:val="002F057D"/>
    <w:pPr>
      <w:spacing w:after="0" w:line="240" w:lineRule="auto"/>
    </w:pPr>
    <w:tblPr>
      <w:tblStyleRowBandSize w:val="1"/>
      <w:tblStyleColBandSize w:val="1"/>
      <w:tblBorders>
        <w:top w:val="single" w:sz="4" w:space="0" w:color="CE85C1" w:themeColor="accent5" w:themeTint="99"/>
        <w:left w:val="single" w:sz="4" w:space="0" w:color="CE85C1" w:themeColor="accent5" w:themeTint="99"/>
        <w:bottom w:val="single" w:sz="4" w:space="0" w:color="CE85C1" w:themeColor="accent5" w:themeTint="99"/>
        <w:right w:val="single" w:sz="4" w:space="0" w:color="CE85C1" w:themeColor="accent5" w:themeTint="99"/>
        <w:insideH w:val="single" w:sz="4" w:space="0" w:color="CE85C1" w:themeColor="accent5" w:themeTint="99"/>
        <w:insideV w:val="single" w:sz="4" w:space="0" w:color="CE85C1" w:themeColor="accent5" w:themeTint="99"/>
      </w:tblBorders>
    </w:tblPr>
    <w:tblStylePr w:type="firstRow">
      <w:rPr>
        <w:b/>
        <w:bCs/>
        <w:color w:val="FFFFFF" w:themeColor="background1"/>
      </w:rPr>
      <w:tblPr/>
      <w:tcPr>
        <w:tcBorders>
          <w:top w:val="single" w:sz="4" w:space="0" w:color="A24191" w:themeColor="accent5"/>
          <w:left w:val="single" w:sz="4" w:space="0" w:color="A24191" w:themeColor="accent5"/>
          <w:bottom w:val="single" w:sz="4" w:space="0" w:color="A24191" w:themeColor="accent5"/>
          <w:right w:val="single" w:sz="4" w:space="0" w:color="A24191" w:themeColor="accent5"/>
          <w:insideH w:val="nil"/>
          <w:insideV w:val="nil"/>
        </w:tcBorders>
        <w:shd w:val="clear" w:color="auto" w:fill="A24191" w:themeFill="accent5"/>
      </w:tcPr>
    </w:tblStylePr>
    <w:tblStylePr w:type="lastRow">
      <w:rPr>
        <w:b/>
        <w:bCs/>
      </w:rPr>
      <w:tblPr/>
      <w:tcPr>
        <w:tcBorders>
          <w:top w:val="double" w:sz="4" w:space="0" w:color="A24191" w:themeColor="accent5"/>
        </w:tcBorders>
      </w:tcPr>
    </w:tblStylePr>
    <w:tblStylePr w:type="firstCol">
      <w:rPr>
        <w:b/>
        <w:bCs/>
      </w:rPr>
    </w:tblStylePr>
    <w:tblStylePr w:type="lastCol">
      <w:rPr>
        <w:b/>
        <w:bCs/>
      </w:rPr>
    </w:tblStylePr>
    <w:tblStylePr w:type="band1Vert">
      <w:tblPr/>
      <w:tcPr>
        <w:shd w:val="clear" w:color="auto" w:fill="EED6EA" w:themeFill="accent5" w:themeFillTint="33"/>
      </w:tcPr>
    </w:tblStylePr>
    <w:tblStylePr w:type="band1Horz">
      <w:tblPr/>
      <w:tcPr>
        <w:shd w:val="clear" w:color="auto" w:fill="EED6EA" w:themeFill="accent5" w:themeFillTint="33"/>
      </w:tcPr>
    </w:tblStylePr>
  </w:style>
  <w:style w:type="table" w:customStyle="1" w:styleId="EcorysTable01">
    <w:name w:val="Ecorys Table 01"/>
    <w:basedOn w:val="TableNormal"/>
    <w:uiPriority w:val="99"/>
    <w:rsid w:val="00AC0629"/>
    <w:pPr>
      <w:spacing w:after="0" w:line="240" w:lineRule="auto"/>
    </w:pPr>
    <w:rPr>
      <w:rFonts w:ascii="Open Sans Light" w:hAnsi="Open Sans Light"/>
      <w:sz w:val="20"/>
    </w:rPr>
    <w:tblPr/>
  </w:style>
  <w:style w:type="numbering" w:customStyle="1" w:styleId="EcorysSectionLevels">
    <w:name w:val="Ecorys Section Levels"/>
    <w:uiPriority w:val="99"/>
    <w:rsid w:val="00710107"/>
    <w:pPr>
      <w:numPr>
        <w:numId w:val="2"/>
      </w:numPr>
    </w:pPr>
  </w:style>
  <w:style w:type="numbering" w:customStyle="1" w:styleId="EcorysFigureCaptions">
    <w:name w:val="Ecorys Figure Captions"/>
    <w:uiPriority w:val="99"/>
    <w:rsid w:val="00623B7A"/>
    <w:pPr>
      <w:numPr>
        <w:numId w:val="5"/>
      </w:numPr>
    </w:pPr>
  </w:style>
  <w:style w:type="numbering" w:customStyle="1" w:styleId="EcorysTableCaptions">
    <w:name w:val="Ecorys Table Captions"/>
    <w:uiPriority w:val="99"/>
    <w:rsid w:val="00B16049"/>
    <w:pPr>
      <w:numPr>
        <w:numId w:val="4"/>
      </w:numPr>
    </w:pPr>
  </w:style>
  <w:style w:type="paragraph" w:styleId="Footer">
    <w:name w:val="footer"/>
    <w:link w:val="FooterChar"/>
    <w:uiPriority w:val="99"/>
    <w:unhideWhenUsed/>
    <w:rsid w:val="004E4D65"/>
    <w:pPr>
      <w:tabs>
        <w:tab w:val="center" w:pos="4513"/>
        <w:tab w:val="right" w:pos="9026"/>
      </w:tabs>
      <w:spacing w:after="0" w:line="240" w:lineRule="auto"/>
    </w:pPr>
    <w:rPr>
      <w:color w:val="000000" w:themeColor="text1"/>
    </w:rPr>
  </w:style>
  <w:style w:type="character" w:customStyle="1" w:styleId="FooterChar">
    <w:name w:val="Footer Char"/>
    <w:basedOn w:val="DefaultParagraphFont"/>
    <w:link w:val="Footer"/>
    <w:uiPriority w:val="99"/>
    <w:rsid w:val="004E4D65"/>
    <w:rPr>
      <w:color w:val="000000" w:themeColor="text1"/>
    </w:rPr>
  </w:style>
  <w:style w:type="character" w:styleId="FootnoteReference">
    <w:name w:val="footnote reference"/>
    <w:basedOn w:val="EcorysItalic"/>
    <w:uiPriority w:val="99"/>
    <w:semiHidden/>
    <w:unhideWhenUsed/>
    <w:qFormat/>
    <w:rsid w:val="001350C1"/>
    <w:rPr>
      <w:i/>
      <w:sz w:val="18"/>
      <w:vertAlign w:val="superscript"/>
    </w:rPr>
  </w:style>
  <w:style w:type="paragraph" w:styleId="CommentSubject">
    <w:name w:val="annotation subject"/>
    <w:basedOn w:val="CommentText"/>
    <w:next w:val="CommentText"/>
    <w:link w:val="CommentSubjectChar"/>
    <w:uiPriority w:val="99"/>
    <w:semiHidden/>
    <w:unhideWhenUsed/>
    <w:rsid w:val="00564E90"/>
    <w:rPr>
      <w:b/>
      <w:bCs/>
    </w:rPr>
  </w:style>
  <w:style w:type="paragraph" w:customStyle="1" w:styleId="EcorysFootnote">
    <w:name w:val="Ecorys Footnote"/>
    <w:rsid w:val="00670959"/>
    <w:pPr>
      <w:spacing w:after="0" w:line="192" w:lineRule="auto"/>
    </w:pPr>
    <w:rPr>
      <w:rFonts w:ascii="Open Sans Light" w:hAnsi="Open Sans Light" w:cs="Open Sans Light"/>
      <w:noProof/>
      <w:color w:val="000000" w:themeColor="text1"/>
      <w:sz w:val="14"/>
      <w:szCs w:val="20"/>
    </w:rPr>
  </w:style>
  <w:style w:type="paragraph" w:customStyle="1" w:styleId="EcorysChapterNo">
    <w:name w:val="Ecorys Chapter No."/>
    <w:rsid w:val="001D1C1C"/>
    <w:pPr>
      <w:spacing w:before="8000"/>
    </w:pPr>
    <w:rPr>
      <w:rFonts w:ascii="Montserrat" w:hAnsi="Montserrat" w:cs="Open Sans Light"/>
      <w:b/>
      <w:noProof/>
      <w:color w:val="FFFFFF" w:themeColor="background1"/>
      <w:sz w:val="144"/>
      <w:szCs w:val="144"/>
    </w:rPr>
  </w:style>
  <w:style w:type="paragraph" w:styleId="TableofFigures">
    <w:name w:val="table of figures"/>
    <w:next w:val="EcorysBody"/>
    <w:uiPriority w:val="99"/>
    <w:unhideWhenUsed/>
    <w:qFormat/>
    <w:rsid w:val="00C462AA"/>
    <w:pPr>
      <w:spacing w:after="180" w:line="240" w:lineRule="auto"/>
      <w:ind w:left="1247" w:right="851" w:hanging="1247"/>
    </w:pPr>
    <w:rPr>
      <w:rFonts w:ascii="Montserrat" w:hAnsi="Montserrat"/>
      <w:color w:val="595959" w:themeColor="text1" w:themeTint="A6"/>
      <w:sz w:val="20"/>
    </w:rPr>
  </w:style>
  <w:style w:type="paragraph" w:customStyle="1" w:styleId="EcorysChapterTitle">
    <w:name w:val="Ecorys Chapter Title"/>
    <w:rsid w:val="001D1C1C"/>
    <w:pPr>
      <w:spacing w:line="192" w:lineRule="auto"/>
      <w:ind w:right="2835"/>
    </w:pPr>
    <w:rPr>
      <w:rFonts w:ascii="Montserrat" w:hAnsi="Montserrat" w:cs="Open Sans Light"/>
      <w:b/>
      <w:noProof/>
      <w:color w:val="FFFFFF" w:themeColor="background1"/>
      <w:sz w:val="48"/>
      <w:szCs w:val="48"/>
    </w:rPr>
  </w:style>
  <w:style w:type="character" w:customStyle="1" w:styleId="CommentSubjectChar">
    <w:name w:val="Comment Subject Char"/>
    <w:basedOn w:val="CommentTextChar"/>
    <w:link w:val="CommentSubject"/>
    <w:uiPriority w:val="99"/>
    <w:semiHidden/>
    <w:rsid w:val="00564E90"/>
    <w:rPr>
      <w:b/>
      <w:bCs/>
      <w:sz w:val="20"/>
      <w:szCs w:val="20"/>
    </w:rPr>
  </w:style>
  <w:style w:type="paragraph" w:styleId="BalloonText">
    <w:name w:val="Balloon Text"/>
    <w:basedOn w:val="Normal"/>
    <w:link w:val="BalloonTextChar"/>
    <w:uiPriority w:val="99"/>
    <w:semiHidden/>
    <w:unhideWhenUsed/>
    <w:rsid w:val="00564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E90"/>
    <w:rPr>
      <w:rFonts w:ascii="Segoe UI" w:hAnsi="Segoe UI" w:cs="Segoe UI"/>
      <w:sz w:val="18"/>
      <w:szCs w:val="18"/>
    </w:rPr>
  </w:style>
  <w:style w:type="character" w:customStyle="1" w:styleId="BodyTextChar">
    <w:name w:val="Body Text Char"/>
    <w:basedOn w:val="DefaultParagraphFont"/>
    <w:link w:val="BodyText"/>
    <w:uiPriority w:val="99"/>
    <w:semiHidden/>
    <w:rsid w:val="001B6579"/>
    <w:rPr>
      <w:color w:val="FF0000"/>
    </w:rPr>
  </w:style>
  <w:style w:type="paragraph" w:customStyle="1" w:styleId="EcorysTableNumberedBullet">
    <w:name w:val="Ecorys Table Numbered Bullet"/>
    <w:next w:val="EcorysBody"/>
    <w:qFormat/>
    <w:rsid w:val="00117D19"/>
    <w:pPr>
      <w:numPr>
        <w:numId w:val="12"/>
      </w:numPr>
      <w:spacing w:before="120" w:after="120"/>
    </w:pPr>
    <w:rPr>
      <w:rFonts w:ascii="Open Sans Light" w:hAnsi="Open Sans Light" w:cs="Open Sans Light"/>
      <w:bCs/>
      <w:color w:val="000000" w:themeColor="text1"/>
      <w:sz w:val="18"/>
      <w:szCs w:val="20"/>
    </w:rPr>
  </w:style>
  <w:style w:type="character" w:customStyle="1" w:styleId="EcorysBodyChar">
    <w:name w:val="Ecorys Body Char"/>
    <w:basedOn w:val="DefaultParagraphFont"/>
    <w:link w:val="EcorysBody"/>
    <w:rsid w:val="001F386C"/>
    <w:rPr>
      <w:rFonts w:ascii="Open Sans Light" w:hAnsi="Open Sans Light" w:cs="Open Sans Light"/>
      <w:sz w:val="18"/>
      <w:szCs w:val="20"/>
    </w:rPr>
  </w:style>
  <w:style w:type="paragraph" w:customStyle="1" w:styleId="EcorysTableBullet01">
    <w:name w:val="Ecorys Table Bullet 01"/>
    <w:basedOn w:val="Normal"/>
    <w:link w:val="EcorysTableBullet01Char"/>
    <w:qFormat/>
    <w:rsid w:val="000B1D26"/>
    <w:pPr>
      <w:numPr>
        <w:numId w:val="8"/>
      </w:numPr>
      <w:spacing w:before="120" w:after="120" w:line="264" w:lineRule="auto"/>
      <w:ind w:left="284"/>
    </w:pPr>
    <w:rPr>
      <w:rFonts w:ascii="Open Sans Light" w:hAnsi="Open Sans Light" w:cs="Open Sans Light"/>
      <w:color w:val="auto"/>
      <w:sz w:val="18"/>
      <w:szCs w:val="20"/>
    </w:rPr>
  </w:style>
  <w:style w:type="paragraph" w:customStyle="1" w:styleId="EcorysBoxOut">
    <w:name w:val="Ecorys Box Out"/>
    <w:basedOn w:val="EcorysBody"/>
    <w:rsid w:val="00533FC5"/>
    <w:pPr>
      <w:pBdr>
        <w:top w:val="single" w:sz="48" w:space="30" w:color="F2F2F2" w:themeColor="background1" w:themeShade="F2"/>
        <w:left w:val="single" w:sz="48" w:space="30" w:color="F2F2F2" w:themeColor="background1" w:themeShade="F2"/>
        <w:bottom w:val="single" w:sz="48" w:space="30" w:color="F2F2F2" w:themeColor="background1" w:themeShade="F2"/>
        <w:right w:val="single" w:sz="48" w:space="30" w:color="F2F2F2" w:themeColor="background1" w:themeShade="F2"/>
      </w:pBdr>
      <w:shd w:val="clear" w:color="auto" w:fill="F2F2F2" w:themeFill="background1" w:themeFillShade="F2"/>
      <w:spacing w:before="240" w:after="240"/>
      <w:ind w:left="680" w:right="680"/>
    </w:pPr>
  </w:style>
  <w:style w:type="paragraph" w:customStyle="1" w:styleId="EcorysFolioText">
    <w:name w:val="Ecorys Folio Text"/>
    <w:basedOn w:val="EcorysBody"/>
    <w:rsid w:val="008565EF"/>
    <w:pPr>
      <w:jc w:val="center"/>
    </w:pPr>
    <w:rPr>
      <w:caps/>
      <w:sz w:val="16"/>
      <w:szCs w:val="16"/>
    </w:rPr>
  </w:style>
  <w:style w:type="paragraph" w:customStyle="1" w:styleId="EcorysTableHeader">
    <w:name w:val="Ecorys Table Header"/>
    <w:qFormat/>
    <w:rsid w:val="00B452BD"/>
    <w:pPr>
      <w:spacing w:before="120" w:after="120"/>
    </w:pPr>
    <w:rPr>
      <w:rFonts w:ascii="Montserrat" w:hAnsi="Montserrat" w:cs="Open Sans Light"/>
      <w:bCs/>
      <w:color w:val="FFFFFF" w:themeColor="background1"/>
      <w:sz w:val="20"/>
      <w:szCs w:val="28"/>
    </w:rPr>
  </w:style>
  <w:style w:type="table" w:customStyle="1" w:styleId="EcorysBasicTablewithHeader">
    <w:name w:val="Ecorys Basic Table with Header"/>
    <w:basedOn w:val="TableNormal"/>
    <w:uiPriority w:val="99"/>
    <w:rsid w:val="005315A0"/>
    <w:pPr>
      <w:spacing w:after="0" w:line="240" w:lineRule="auto"/>
    </w:pPr>
    <w:rPr>
      <w:sz w:val="18"/>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Pr>
  </w:style>
  <w:style w:type="table" w:styleId="GridTable5Dark-Accent1">
    <w:name w:val="Grid Table 5 Dark Accent 1"/>
    <w:basedOn w:val="TableNormal"/>
    <w:uiPriority w:val="50"/>
    <w:rsid w:val="00FF41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E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E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E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E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EB8" w:themeFill="accent1"/>
      </w:tcPr>
    </w:tblStylePr>
    <w:tblStylePr w:type="band1Vert">
      <w:tblPr/>
      <w:tcPr>
        <w:shd w:val="clear" w:color="auto" w:fill="7CCAFF" w:themeFill="accent1" w:themeFillTint="66"/>
      </w:tcPr>
    </w:tblStylePr>
    <w:tblStylePr w:type="band1Horz">
      <w:tblPr/>
      <w:tcPr>
        <w:shd w:val="clear" w:color="auto" w:fill="7CCAFF" w:themeFill="accent1" w:themeFillTint="66"/>
      </w:tcPr>
    </w:tblStylePr>
  </w:style>
  <w:style w:type="table" w:styleId="PlainTable4">
    <w:name w:val="Plain Table 4"/>
    <w:basedOn w:val="TableNormal"/>
    <w:uiPriority w:val="44"/>
    <w:rsid w:val="00FF41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5">
    <w:name w:val="Grid Table 5 Dark Accent 5"/>
    <w:aliases w:val="Ecorys Standard Table with Side Column"/>
    <w:basedOn w:val="TableNormal"/>
    <w:uiPriority w:val="50"/>
    <w:rsid w:val="006068FD"/>
    <w:pPr>
      <w:spacing w:after="0" w:line="240" w:lineRule="auto"/>
    </w:pPr>
    <w:rPr>
      <w:rFonts w:ascii="Open Sans Light" w:hAnsi="Open Sans Light"/>
      <w:sz w:val="18"/>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70" w:type="dxa"/>
        <w:left w:w="227" w:type="dxa"/>
        <w:bottom w:w="170" w:type="dxa"/>
        <w:right w:w="227" w:type="dxa"/>
      </w:tblCellMar>
    </w:tblPr>
    <w:tcPr>
      <w:shd w:val="clear" w:color="auto" w:fill="F2F2F2" w:themeFill="background1" w:themeFillShade="F2"/>
    </w:tcPr>
    <w:tblStylePr w:type="firstRow">
      <w:rPr>
        <w:rFonts w:ascii="Montserrat" w:hAnsi="Montserrat"/>
        <w:b/>
        <w:bCs/>
        <w:color w:val="FFFFFF" w:themeColor="background1"/>
        <w:sz w:val="20"/>
      </w:rPr>
      <w:tblPr/>
      <w:tcPr>
        <w:shd w:val="clear" w:color="auto" w:fill="28358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4191" w:themeFill="accent5"/>
      </w:tcPr>
    </w:tblStylePr>
    <w:tblStylePr w:type="firstCol">
      <w:rPr>
        <w:b w:val="0"/>
        <w:bCs/>
        <w:color w:val="FFFFFF" w:themeColor="background1"/>
      </w:rPr>
      <w:tblPr/>
      <w:tcPr>
        <w:shd w:val="clear" w:color="auto" w:fill="F2F2F2" w:themeFill="background1" w:themeFillShade="F2"/>
      </w:tcPr>
    </w:tblStylePr>
    <w:tblStylePr w:type="lastCol">
      <w:rPr>
        <w:b/>
        <w:bCs/>
        <w:color w:val="FFFFFF" w:themeColor="background1"/>
      </w:rPr>
      <w:tblPr/>
      <w:tcPr>
        <w:shd w:val="clear" w:color="auto" w:fill="F2F2F2" w:themeFill="background1" w:themeFillShade="F2"/>
      </w:tcPr>
    </w:tblStylePr>
  </w:style>
  <w:style w:type="table" w:customStyle="1" w:styleId="TableStyle2114">
    <w:name w:val="&gt;Table Style (2)114"/>
    <w:basedOn w:val="TableNormal"/>
    <w:next w:val="MediumShading2-Accent6"/>
    <w:uiPriority w:val="64"/>
    <w:rsid w:val="00F056A9"/>
    <w:pPr>
      <w:spacing w:after="0" w:line="240" w:lineRule="auto"/>
    </w:pPr>
    <w:rPr>
      <w:rFonts w:ascii="Arial" w:hAnsi="Arial"/>
    </w:rPr>
    <w:tblPr>
      <w:tblStyleRowBandSize w:val="1"/>
      <w:tblStyleColBandSize w:val="1"/>
      <w:tblBorders>
        <w:top w:val="single" w:sz="18" w:space="0" w:color="823071"/>
        <w:left w:val="single" w:sz="18" w:space="0" w:color="823071"/>
        <w:bottom w:val="single" w:sz="18" w:space="0" w:color="823071"/>
        <w:right w:val="single" w:sz="18" w:space="0" w:color="823071"/>
        <w:insideH w:val="single" w:sz="8" w:space="0" w:color="823071"/>
        <w:insideV w:val="single" w:sz="8" w:space="0" w:color="823071"/>
      </w:tblBorders>
      <w:tblCellMar>
        <w:top w:w="85" w:type="dxa"/>
        <w:left w:w="85" w:type="dxa"/>
        <w:bottom w:w="85" w:type="dxa"/>
        <w:right w:w="85" w:type="dxa"/>
      </w:tblCellMar>
    </w:tblPr>
    <w:tcPr>
      <w:vAlign w:val="center"/>
    </w:tcPr>
    <w:tblStylePr w:type="firstRow">
      <w:pPr>
        <w:spacing w:before="0" w:after="0" w:line="240" w:lineRule="auto"/>
      </w:pPr>
      <w:rPr>
        <w:rFonts w:ascii="Yu Mincho" w:hAnsi="Yu Mincho"/>
        <w:b/>
        <w:bCs/>
        <w:i w:val="0"/>
        <w:color w:val="823071"/>
        <w:sz w:val="22"/>
      </w:rPr>
      <w:tblPr/>
      <w:trPr>
        <w:tblHeader/>
      </w:trPr>
      <w:tcPr>
        <w:tcBorders>
          <w:bottom w:val="single" w:sz="18" w:space="0" w:color="823071"/>
        </w:tcBorders>
        <w:shd w:val="clear" w:color="auto" w:fill="D9EDF8"/>
      </w:tcPr>
    </w:tblStylePr>
    <w:tblStylePr w:type="lastRow">
      <w:pPr>
        <w:spacing w:before="0" w:after="0" w:line="240" w:lineRule="auto"/>
      </w:pPr>
      <w:rPr>
        <w:rFonts w:ascii="Yu Mincho" w:hAnsi="Yu Mincho"/>
        <w:b/>
        <w:color w:val="823071"/>
        <w:sz w:val="22"/>
      </w:rPr>
      <w:tblPr/>
      <w:tcPr>
        <w:tcBorders>
          <w:top w:val="single" w:sz="18" w:space="0" w:color="823071"/>
          <w:left w:val="single" w:sz="18" w:space="0" w:color="823071"/>
          <w:bottom w:val="single" w:sz="18" w:space="0" w:color="823071"/>
          <w:right w:val="single" w:sz="18" w:space="0" w:color="823071"/>
          <w:insideH w:val="single" w:sz="18" w:space="0" w:color="823071"/>
          <w:insideV w:val="single" w:sz="18" w:space="0" w:color="823071"/>
        </w:tcBorders>
        <w:shd w:val="clear" w:color="auto" w:fill="FFFFFF"/>
      </w:tcPr>
    </w:tblStylePr>
    <w:tblStylePr w:type="firstCol">
      <w:rPr>
        <w:rFonts w:ascii="Yu Mincho" w:hAnsi="Yu Mincho"/>
        <w:b/>
        <w:bCs/>
        <w:i w:val="0"/>
        <w:color w:val="823071"/>
        <w:sz w:val="22"/>
      </w:rPr>
      <w:tblPr/>
      <w:tcPr>
        <w:tcBorders>
          <w:top w:val="single" w:sz="18" w:space="0" w:color="823071"/>
          <w:left w:val="single" w:sz="18" w:space="0" w:color="823071"/>
          <w:bottom w:val="single" w:sz="18" w:space="0" w:color="823071"/>
          <w:right w:val="single" w:sz="18" w:space="0" w:color="823071"/>
        </w:tcBorders>
      </w:tcPr>
    </w:tblStylePr>
    <w:tblStylePr w:type="lastCol">
      <w:rPr>
        <w:rFonts w:ascii="Yu Mincho" w:hAnsi="Yu Mincho"/>
        <w:b/>
        <w:bCs/>
        <w:i w:val="0"/>
        <w:color w:val="823071"/>
        <w:sz w:val="22"/>
      </w:rPr>
      <w:tblPr/>
      <w:tcPr>
        <w:tcBorders>
          <w:top w:val="single" w:sz="18" w:space="0" w:color="823071"/>
          <w:left w:val="single" w:sz="18" w:space="0" w:color="823071"/>
          <w:bottom w:val="single" w:sz="18" w:space="0" w:color="823071"/>
          <w:right w:val="single" w:sz="18" w:space="0" w:color="823071"/>
        </w:tcBorders>
      </w:tcPr>
    </w:tblStylePr>
    <w:tblStylePr w:type="band1Vert">
      <w:tblPr>
        <w:jc w:val="center"/>
      </w:tblPr>
      <w:trPr>
        <w:jc w:val="center"/>
      </w:trPr>
    </w:tblStylePr>
    <w:tblStylePr w:type="band2Vert">
      <w:tblPr>
        <w:tblCellMar>
          <w:top w:w="28" w:type="dxa"/>
          <w:left w:w="28" w:type="dxa"/>
          <w:bottom w:w="85" w:type="dxa"/>
          <w:right w:w="28" w:type="dxa"/>
        </w:tblCellMar>
      </w:tblPr>
    </w:tblStylePr>
    <w:tblStylePr w:type="band1Horz">
      <w:pPr>
        <w:wordWrap/>
        <w:spacing w:beforeLines="0" w:beforeAutospacing="1" w:afterLines="0" w:afterAutospacing="1"/>
      </w:pPr>
      <w:tblPr/>
      <w:tcPr>
        <w:shd w:val="clear" w:color="auto" w:fill="FFFFFF"/>
      </w:tcPr>
    </w:tblStylePr>
    <w:tblStylePr w:type="band2Horz">
      <w:tblPr>
        <w:tblCellMar>
          <w:top w:w="28" w:type="dxa"/>
          <w:left w:w="28" w:type="dxa"/>
          <w:bottom w:w="85" w:type="dxa"/>
          <w:right w:w="28" w:type="dxa"/>
        </w:tblCellMar>
      </w:tblPr>
    </w:tblStylePr>
    <w:tblStylePr w:type="neCell">
      <w:rPr>
        <w:rFonts w:ascii="Yu Mincho" w:hAnsi="Yu Mincho"/>
        <w:b/>
        <w:i w:val="0"/>
        <w:color w:val="823071"/>
        <w:sz w:val="22"/>
      </w:rPr>
    </w:tblStylePr>
    <w:tblStylePr w:type="nwCell">
      <w:rPr>
        <w:rFonts w:ascii="Yu Mincho" w:hAnsi="Yu Mincho"/>
        <w:b/>
        <w:i w:val="0"/>
        <w:color w:val="823071"/>
        <w:sz w:val="22"/>
      </w:rPr>
      <w:tblPr/>
      <w:tcPr>
        <w:tcBorders>
          <w:top w:val="single" w:sz="18" w:space="0" w:color="823071"/>
          <w:left w:val="single" w:sz="18" w:space="0" w:color="823071"/>
          <w:bottom w:val="single" w:sz="18" w:space="0" w:color="823071"/>
          <w:right w:val="single" w:sz="18" w:space="0" w:color="823071"/>
          <w:insideH w:val="single" w:sz="8" w:space="0" w:color="823071"/>
          <w:insideV w:val="single" w:sz="8" w:space="0" w:color="823071"/>
        </w:tcBorders>
      </w:tcPr>
    </w:tblStylePr>
    <w:tblStylePr w:type="seCell">
      <w:rPr>
        <w:rFonts w:ascii="Yu Mincho" w:hAnsi="Yu Mincho"/>
        <w:b/>
        <w:i w:val="0"/>
        <w:color w:val="823071"/>
        <w:sz w:val="22"/>
      </w:rPr>
      <w:tblPr/>
      <w:tcPr>
        <w:tcBorders>
          <w:top w:val="single" w:sz="18" w:space="0" w:color="823071"/>
          <w:left w:val="single" w:sz="18" w:space="0" w:color="823071"/>
          <w:bottom w:val="single" w:sz="18" w:space="0" w:color="823071"/>
          <w:right w:val="single" w:sz="18" w:space="0" w:color="823071"/>
        </w:tcBorders>
      </w:tcPr>
    </w:tblStylePr>
    <w:tblStylePr w:type="swCell">
      <w:rPr>
        <w:rFonts w:ascii="Yu Mincho" w:hAnsi="Yu Mincho"/>
        <w:b/>
        <w:i w:val="0"/>
        <w:color w:val="823071"/>
        <w:sz w:val="22"/>
      </w:rPr>
    </w:tblStylePr>
  </w:style>
  <w:style w:type="table" w:styleId="MediumShading2-Accent6">
    <w:name w:val="Medium Shading 2 Accent 6"/>
    <w:aliases w:val="Text Table (1),DG EMPL - Table 1,&gt;Table Style (2)"/>
    <w:basedOn w:val="TableNormal"/>
    <w:uiPriority w:val="64"/>
    <w:unhideWhenUsed/>
    <w:rsid w:val="00F056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A82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A82A" w:themeFill="accent6"/>
      </w:tcPr>
    </w:tblStylePr>
    <w:tblStylePr w:type="lastCol">
      <w:rPr>
        <w:b/>
        <w:bCs/>
        <w:color w:val="FFFFFF" w:themeColor="background1"/>
      </w:rPr>
      <w:tblPr/>
      <w:tcPr>
        <w:tcBorders>
          <w:left w:val="nil"/>
          <w:right w:val="nil"/>
          <w:insideH w:val="nil"/>
          <w:insideV w:val="nil"/>
        </w:tcBorders>
        <w:shd w:val="clear" w:color="auto" w:fill="F7A82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customStyle="1" w:styleId="EcorysTableBody">
    <w:name w:val="Ecorys Table Body"/>
    <w:basedOn w:val="Normal"/>
    <w:qFormat/>
    <w:rsid w:val="00117D19"/>
    <w:pPr>
      <w:tabs>
        <w:tab w:val="left" w:pos="357"/>
      </w:tabs>
      <w:spacing w:before="120" w:after="120" w:line="276" w:lineRule="auto"/>
    </w:pPr>
    <w:rPr>
      <w:rFonts w:ascii="Open Sans Light" w:hAnsi="Open Sans Light" w:cs="Arial"/>
      <w:bCs/>
      <w:sz w:val="18"/>
      <w:szCs w:val="20"/>
    </w:rPr>
  </w:style>
  <w:style w:type="paragraph" w:customStyle="1" w:styleId="EcorysTableSubHeader">
    <w:name w:val="Ecorys Table Sub Header"/>
    <w:next w:val="EcorysBody"/>
    <w:rsid w:val="00117D19"/>
    <w:pPr>
      <w:tabs>
        <w:tab w:val="left" w:pos="357"/>
      </w:tabs>
      <w:spacing w:before="120" w:after="0" w:line="276" w:lineRule="auto"/>
    </w:pPr>
    <w:rPr>
      <w:rFonts w:ascii="Montserrat" w:hAnsi="Montserrat" w:cs="Arial"/>
      <w:bCs/>
      <w:color w:val="595959" w:themeColor="text1" w:themeTint="A6"/>
      <w:sz w:val="18"/>
      <w:szCs w:val="20"/>
    </w:rPr>
  </w:style>
  <w:style w:type="table" w:customStyle="1" w:styleId="TableStyle21111">
    <w:name w:val="&gt;Table Style (2)1111"/>
    <w:basedOn w:val="TableNormal"/>
    <w:next w:val="MediumShading2-Accent6"/>
    <w:uiPriority w:val="64"/>
    <w:rsid w:val="0068354F"/>
    <w:pPr>
      <w:spacing w:after="0" w:line="240" w:lineRule="auto"/>
    </w:pPr>
    <w:rPr>
      <w:rFonts w:ascii="Arial" w:hAnsi="Arial"/>
    </w:rPr>
    <w:tblPr>
      <w:tblStyleRowBandSize w:val="1"/>
      <w:tblStyleColBandSize w:val="1"/>
      <w:tblBorders>
        <w:top w:val="single" w:sz="18" w:space="0" w:color="823071"/>
        <w:left w:val="single" w:sz="18" w:space="0" w:color="823071"/>
        <w:bottom w:val="single" w:sz="18" w:space="0" w:color="823071"/>
        <w:right w:val="single" w:sz="18" w:space="0" w:color="823071"/>
        <w:insideH w:val="single" w:sz="8" w:space="0" w:color="823071"/>
        <w:insideV w:val="single" w:sz="8" w:space="0" w:color="823071"/>
      </w:tblBorders>
      <w:tblCellMar>
        <w:top w:w="85" w:type="dxa"/>
        <w:left w:w="85" w:type="dxa"/>
        <w:bottom w:w="85" w:type="dxa"/>
        <w:right w:w="85" w:type="dxa"/>
      </w:tblCellMar>
    </w:tblPr>
    <w:tcPr>
      <w:vAlign w:val="center"/>
    </w:tcPr>
    <w:tblStylePr w:type="firstRow">
      <w:pPr>
        <w:spacing w:before="0" w:after="0" w:line="240" w:lineRule="auto"/>
      </w:pPr>
      <w:rPr>
        <w:rFonts w:ascii="Yu Mincho" w:hAnsi="Yu Mincho"/>
        <w:b/>
        <w:bCs/>
        <w:i w:val="0"/>
        <w:color w:val="823071"/>
        <w:sz w:val="22"/>
      </w:rPr>
      <w:tblPr/>
      <w:trPr>
        <w:tblHeader/>
      </w:trPr>
      <w:tcPr>
        <w:tcBorders>
          <w:bottom w:val="single" w:sz="18" w:space="0" w:color="823071"/>
        </w:tcBorders>
        <w:shd w:val="clear" w:color="auto" w:fill="D9EDF8"/>
      </w:tcPr>
    </w:tblStylePr>
    <w:tblStylePr w:type="lastRow">
      <w:pPr>
        <w:spacing w:before="0" w:after="0" w:line="240" w:lineRule="auto"/>
      </w:pPr>
      <w:rPr>
        <w:rFonts w:ascii="Yu Mincho" w:hAnsi="Yu Mincho"/>
        <w:b/>
        <w:color w:val="823071"/>
        <w:sz w:val="22"/>
      </w:rPr>
      <w:tblPr/>
      <w:tcPr>
        <w:tcBorders>
          <w:top w:val="single" w:sz="18" w:space="0" w:color="823071"/>
          <w:left w:val="single" w:sz="18" w:space="0" w:color="823071"/>
          <w:bottom w:val="single" w:sz="18" w:space="0" w:color="823071"/>
          <w:right w:val="single" w:sz="18" w:space="0" w:color="823071"/>
          <w:insideH w:val="single" w:sz="18" w:space="0" w:color="823071"/>
          <w:insideV w:val="single" w:sz="18" w:space="0" w:color="823071"/>
        </w:tcBorders>
        <w:shd w:val="clear" w:color="auto" w:fill="FFFFFF"/>
      </w:tcPr>
    </w:tblStylePr>
    <w:tblStylePr w:type="firstCol">
      <w:rPr>
        <w:rFonts w:ascii="Yu Mincho" w:hAnsi="Yu Mincho"/>
        <w:b/>
        <w:bCs/>
        <w:i w:val="0"/>
        <w:color w:val="823071"/>
        <w:sz w:val="22"/>
      </w:rPr>
      <w:tblPr/>
      <w:tcPr>
        <w:tcBorders>
          <w:top w:val="single" w:sz="18" w:space="0" w:color="823071"/>
          <w:left w:val="single" w:sz="18" w:space="0" w:color="823071"/>
          <w:bottom w:val="single" w:sz="18" w:space="0" w:color="823071"/>
          <w:right w:val="single" w:sz="18" w:space="0" w:color="823071"/>
        </w:tcBorders>
      </w:tcPr>
    </w:tblStylePr>
    <w:tblStylePr w:type="lastCol">
      <w:rPr>
        <w:rFonts w:ascii="Yu Mincho" w:hAnsi="Yu Mincho"/>
        <w:b/>
        <w:bCs/>
        <w:i w:val="0"/>
        <w:color w:val="823071"/>
        <w:sz w:val="22"/>
      </w:rPr>
      <w:tblPr/>
      <w:tcPr>
        <w:tcBorders>
          <w:top w:val="single" w:sz="18" w:space="0" w:color="823071"/>
          <w:left w:val="single" w:sz="18" w:space="0" w:color="823071"/>
          <w:bottom w:val="single" w:sz="18" w:space="0" w:color="823071"/>
          <w:right w:val="single" w:sz="18" w:space="0" w:color="823071"/>
        </w:tcBorders>
      </w:tcPr>
    </w:tblStylePr>
    <w:tblStylePr w:type="band1Vert">
      <w:tblPr>
        <w:jc w:val="center"/>
      </w:tblPr>
      <w:trPr>
        <w:jc w:val="center"/>
      </w:trPr>
    </w:tblStylePr>
    <w:tblStylePr w:type="band2Vert">
      <w:tblPr>
        <w:tblCellMar>
          <w:top w:w="28" w:type="dxa"/>
          <w:left w:w="28" w:type="dxa"/>
          <w:bottom w:w="85" w:type="dxa"/>
          <w:right w:w="28" w:type="dxa"/>
        </w:tblCellMar>
      </w:tblPr>
    </w:tblStylePr>
    <w:tblStylePr w:type="band1Horz">
      <w:pPr>
        <w:wordWrap/>
        <w:spacing w:beforeLines="0" w:beforeAutospacing="1" w:afterLines="0" w:afterAutospacing="1"/>
      </w:pPr>
      <w:tblPr/>
      <w:tcPr>
        <w:shd w:val="clear" w:color="auto" w:fill="FFFFFF"/>
      </w:tcPr>
    </w:tblStylePr>
    <w:tblStylePr w:type="band2Horz">
      <w:tblPr>
        <w:tblCellMar>
          <w:top w:w="28" w:type="dxa"/>
          <w:left w:w="28" w:type="dxa"/>
          <w:bottom w:w="85" w:type="dxa"/>
          <w:right w:w="28" w:type="dxa"/>
        </w:tblCellMar>
      </w:tblPr>
    </w:tblStylePr>
    <w:tblStylePr w:type="neCell">
      <w:rPr>
        <w:rFonts w:ascii="Yu Mincho" w:hAnsi="Yu Mincho"/>
        <w:b/>
        <w:i w:val="0"/>
        <w:color w:val="823071"/>
        <w:sz w:val="22"/>
      </w:rPr>
    </w:tblStylePr>
    <w:tblStylePr w:type="nwCell">
      <w:rPr>
        <w:rFonts w:ascii="Yu Mincho" w:hAnsi="Yu Mincho"/>
        <w:b/>
        <w:i w:val="0"/>
        <w:color w:val="823071"/>
        <w:sz w:val="22"/>
      </w:rPr>
      <w:tblPr/>
      <w:tcPr>
        <w:tcBorders>
          <w:top w:val="single" w:sz="18" w:space="0" w:color="823071"/>
          <w:left w:val="single" w:sz="18" w:space="0" w:color="823071"/>
          <w:bottom w:val="single" w:sz="18" w:space="0" w:color="823071"/>
          <w:right w:val="single" w:sz="18" w:space="0" w:color="823071"/>
          <w:insideH w:val="single" w:sz="8" w:space="0" w:color="823071"/>
          <w:insideV w:val="single" w:sz="8" w:space="0" w:color="823071"/>
        </w:tcBorders>
      </w:tcPr>
    </w:tblStylePr>
    <w:tblStylePr w:type="seCell">
      <w:rPr>
        <w:rFonts w:ascii="Yu Mincho" w:hAnsi="Yu Mincho"/>
        <w:b/>
        <w:i w:val="0"/>
        <w:color w:val="823071"/>
        <w:sz w:val="22"/>
      </w:rPr>
      <w:tblPr/>
      <w:tcPr>
        <w:tcBorders>
          <w:top w:val="single" w:sz="18" w:space="0" w:color="823071"/>
          <w:left w:val="single" w:sz="18" w:space="0" w:color="823071"/>
          <w:bottom w:val="single" w:sz="18" w:space="0" w:color="823071"/>
          <w:right w:val="single" w:sz="18" w:space="0" w:color="823071"/>
        </w:tcBorders>
      </w:tcPr>
    </w:tblStylePr>
    <w:tblStylePr w:type="swCell">
      <w:rPr>
        <w:rFonts w:ascii="Yu Mincho" w:hAnsi="Yu Mincho"/>
        <w:b/>
        <w:i w:val="0"/>
        <w:color w:val="823071"/>
        <w:sz w:val="22"/>
      </w:rPr>
    </w:tblStylePr>
  </w:style>
  <w:style w:type="paragraph" w:styleId="Header">
    <w:name w:val="header"/>
    <w:basedOn w:val="Normal"/>
    <w:link w:val="HeaderChar"/>
    <w:uiPriority w:val="99"/>
    <w:unhideWhenUsed/>
    <w:rsid w:val="00182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6A9"/>
    <w:rPr>
      <w:color w:val="000000" w:themeColor="text1"/>
    </w:rPr>
  </w:style>
  <w:style w:type="paragraph" w:customStyle="1" w:styleId="EcorysTable-FigureTOCHeading">
    <w:name w:val="Ecorys Table-Figure TOC Heading"/>
    <w:basedOn w:val="EcorysH4"/>
    <w:link w:val="EcorysTable-FigureTOCHeadingChar"/>
    <w:qFormat/>
    <w:rsid w:val="00C462AA"/>
    <w:pPr>
      <w:spacing w:after="240"/>
    </w:pPr>
  </w:style>
  <w:style w:type="character" w:customStyle="1" w:styleId="EcorysH4Char">
    <w:name w:val="Ecorys H4 Char"/>
    <w:basedOn w:val="DefaultParagraphFont"/>
    <w:link w:val="EcorysH4"/>
    <w:rsid w:val="00B452BD"/>
    <w:rPr>
      <w:rFonts w:ascii="Montserrat" w:hAnsi="Montserrat" w:cs="Open Sans Light"/>
      <w:b/>
      <w:color w:val="006EB8"/>
      <w:sz w:val="24"/>
      <w:szCs w:val="28"/>
    </w:rPr>
  </w:style>
  <w:style w:type="character" w:customStyle="1" w:styleId="EcorysTable-FigureTOCHeadingChar">
    <w:name w:val="Ecorys Table-Figure TOC Heading Char"/>
    <w:basedOn w:val="EcorysH4Char"/>
    <w:link w:val="EcorysTable-FigureTOCHeading"/>
    <w:rsid w:val="00C462AA"/>
    <w:rPr>
      <w:rFonts w:ascii="Montserrat" w:hAnsi="Montserrat" w:cs="Open Sans Light"/>
      <w:b/>
      <w:color w:val="006EB8"/>
      <w:sz w:val="28"/>
      <w:szCs w:val="28"/>
    </w:rPr>
  </w:style>
  <w:style w:type="paragraph" w:customStyle="1" w:styleId="EcorysBullet01">
    <w:name w:val="Ecorys Bullet 01"/>
    <w:basedOn w:val="EcorysBody"/>
    <w:link w:val="EcorysBullet01Char"/>
    <w:qFormat/>
    <w:rsid w:val="00CD76E5"/>
    <w:pPr>
      <w:numPr>
        <w:numId w:val="27"/>
      </w:numPr>
      <w:spacing w:after="120"/>
      <w:ind w:left="568" w:hanging="284"/>
    </w:pPr>
  </w:style>
  <w:style w:type="paragraph" w:customStyle="1" w:styleId="EcorysBullet02">
    <w:name w:val="Ecorys Bullet 02"/>
    <w:basedOn w:val="EcorysBody"/>
    <w:link w:val="EcorysBullet02Char"/>
    <w:qFormat/>
    <w:rsid w:val="00CD76E5"/>
    <w:pPr>
      <w:numPr>
        <w:ilvl w:val="1"/>
        <w:numId w:val="27"/>
      </w:numPr>
      <w:spacing w:after="120"/>
    </w:pPr>
  </w:style>
  <w:style w:type="character" w:customStyle="1" w:styleId="EcorysBullet01Char">
    <w:name w:val="Ecorys Bullet 01 Char"/>
    <w:basedOn w:val="DefaultParagraphFont"/>
    <w:link w:val="EcorysBullet01"/>
    <w:rsid w:val="000B1D26"/>
    <w:rPr>
      <w:rFonts w:ascii="Open Sans Light" w:hAnsi="Open Sans Light" w:cs="Open Sans Light"/>
      <w:noProof/>
      <w:color w:val="000000" w:themeColor="text1"/>
      <w:sz w:val="18"/>
      <w:szCs w:val="20"/>
    </w:rPr>
  </w:style>
  <w:style w:type="paragraph" w:customStyle="1" w:styleId="EcorysBullet03">
    <w:name w:val="Ecorys Bullet 03"/>
    <w:basedOn w:val="EcorysBody"/>
    <w:link w:val="EcorysBullet03Char"/>
    <w:qFormat/>
    <w:rsid w:val="00CD76E5"/>
    <w:pPr>
      <w:numPr>
        <w:ilvl w:val="2"/>
        <w:numId w:val="27"/>
      </w:numPr>
      <w:spacing w:after="120"/>
      <w:ind w:left="1135" w:hanging="284"/>
    </w:pPr>
  </w:style>
  <w:style w:type="character" w:customStyle="1" w:styleId="EcorysBullet02Char">
    <w:name w:val="Ecorys Bullet 02 Char"/>
    <w:basedOn w:val="DefaultParagraphFont"/>
    <w:link w:val="EcorysBullet02"/>
    <w:rsid w:val="000B1D26"/>
    <w:rPr>
      <w:rFonts w:ascii="Open Sans Light" w:hAnsi="Open Sans Light" w:cs="Open Sans Light"/>
      <w:noProof/>
      <w:color w:val="000000" w:themeColor="text1"/>
      <w:sz w:val="18"/>
      <w:szCs w:val="20"/>
    </w:rPr>
  </w:style>
  <w:style w:type="paragraph" w:customStyle="1" w:styleId="EcorysBullet04">
    <w:name w:val="Ecorys Bullet 04"/>
    <w:basedOn w:val="EcorysBody"/>
    <w:link w:val="EcorysBullet04Char"/>
    <w:qFormat/>
    <w:rsid w:val="00CD76E5"/>
    <w:pPr>
      <w:numPr>
        <w:ilvl w:val="3"/>
        <w:numId w:val="27"/>
      </w:numPr>
      <w:spacing w:after="120"/>
    </w:pPr>
  </w:style>
  <w:style w:type="character" w:customStyle="1" w:styleId="EcorysBullet03Char">
    <w:name w:val="Ecorys Bullet 03 Char"/>
    <w:basedOn w:val="DefaultParagraphFont"/>
    <w:link w:val="EcorysBullet03"/>
    <w:rsid w:val="000B1D26"/>
    <w:rPr>
      <w:rFonts w:ascii="Open Sans Light" w:hAnsi="Open Sans Light" w:cs="Open Sans Light"/>
      <w:noProof/>
      <w:color w:val="000000" w:themeColor="text1"/>
      <w:sz w:val="18"/>
      <w:szCs w:val="20"/>
    </w:rPr>
  </w:style>
  <w:style w:type="character" w:customStyle="1" w:styleId="EcorysBullet04Char">
    <w:name w:val="Ecorys Bullet 04 Char"/>
    <w:basedOn w:val="DefaultParagraphFont"/>
    <w:link w:val="EcorysBullet04"/>
    <w:rsid w:val="000B1D26"/>
    <w:rPr>
      <w:rFonts w:ascii="Open Sans Light" w:hAnsi="Open Sans Light" w:cs="Open Sans Light"/>
      <w:noProof/>
      <w:color w:val="000000" w:themeColor="text1"/>
      <w:sz w:val="18"/>
      <w:szCs w:val="20"/>
    </w:rPr>
  </w:style>
  <w:style w:type="paragraph" w:customStyle="1" w:styleId="EcorysCoverTitle">
    <w:name w:val="Ecorys Cover Title"/>
    <w:rsid w:val="008109A4"/>
    <w:pPr>
      <w:spacing w:before="6840" w:after="240" w:line="216" w:lineRule="auto"/>
    </w:pPr>
    <w:rPr>
      <w:rFonts w:ascii="Montserrat" w:hAnsi="Montserrat" w:cs="Arial"/>
      <w:b/>
      <w:noProof/>
      <w:color w:val="FFFFFF"/>
      <w:spacing w:val="-10"/>
      <w:sz w:val="44"/>
      <w:szCs w:val="44"/>
    </w:rPr>
  </w:style>
  <w:style w:type="paragraph" w:customStyle="1" w:styleId="EcorysCoverText">
    <w:name w:val="Ecorys Cover Text"/>
    <w:rsid w:val="00916DD4"/>
    <w:pPr>
      <w:spacing w:line="240" w:lineRule="auto"/>
    </w:pPr>
    <w:rPr>
      <w:rFonts w:ascii="Montserrat" w:hAnsi="Montserrat" w:cs="Open Sans Light"/>
      <w:color w:val="FFFFFF"/>
      <w:sz w:val="32"/>
      <w:szCs w:val="24"/>
    </w:rPr>
  </w:style>
  <w:style w:type="paragraph" w:customStyle="1" w:styleId="EcorysCoverReference">
    <w:name w:val="Ecorys Cover Reference"/>
    <w:basedOn w:val="EcorysCoverText"/>
    <w:rsid w:val="008109A4"/>
    <w:pPr>
      <w:spacing w:after="360"/>
    </w:pPr>
    <w:rPr>
      <w:sz w:val="28"/>
      <w:szCs w:val="28"/>
    </w:rPr>
  </w:style>
  <w:style w:type="table" w:customStyle="1" w:styleId="EcorysTable1Standard">
    <w:name w:val="Ecorys Table 1 Standard"/>
    <w:basedOn w:val="TableNormal"/>
    <w:uiPriority w:val="99"/>
    <w:rsid w:val="00222755"/>
    <w:pPr>
      <w:spacing w:after="0" w:line="240" w:lineRule="auto"/>
    </w:p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283583"/>
      </w:tcPr>
    </w:tblStylePr>
  </w:style>
  <w:style w:type="table" w:customStyle="1" w:styleId="EcorysTable2">
    <w:name w:val="Ecorys Table 2"/>
    <w:basedOn w:val="TableNormal"/>
    <w:uiPriority w:val="99"/>
    <w:rsid w:val="00222755"/>
    <w:pPr>
      <w:spacing w:after="0" w:line="240" w:lineRule="auto"/>
    </w:p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F2F2F2"/>
    </w:tcPr>
    <w:tblStylePr w:type="firstRow">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l2br w:val="nil"/>
          <w:tr2bl w:val="nil"/>
        </w:tcBorders>
        <w:shd w:val="clear" w:color="auto" w:fill="283583"/>
      </w:tcPr>
    </w:tblStylePr>
    <w:tblStylePr w:type="firstCol">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D9D9D9"/>
      </w:tcPr>
    </w:tblStylePr>
  </w:style>
  <w:style w:type="paragraph" w:styleId="TOCHeading">
    <w:name w:val="TOC Heading"/>
    <w:basedOn w:val="EcorysH1"/>
    <w:next w:val="EcorysBody"/>
    <w:uiPriority w:val="39"/>
    <w:unhideWhenUsed/>
    <w:qFormat/>
    <w:rsid w:val="007C29C0"/>
    <w:pPr>
      <w:spacing w:before="0" w:line="259" w:lineRule="auto"/>
      <w:outlineLvl w:val="9"/>
    </w:pPr>
    <w:rPr>
      <w:color w:val="006EB8" w:themeColor="accent1"/>
      <w:sz w:val="40"/>
      <w:szCs w:val="32"/>
      <w:lang w:val="en-US"/>
    </w:rPr>
  </w:style>
  <w:style w:type="paragraph" w:customStyle="1" w:styleId="EcorysTableBullet02">
    <w:name w:val="Ecorys Table Bullet 02"/>
    <w:basedOn w:val="EcorysTableBullet01"/>
    <w:link w:val="EcorysTableBullet02Char"/>
    <w:qFormat/>
    <w:rsid w:val="00A13D10"/>
    <w:pPr>
      <w:ind w:left="568" w:hanging="284"/>
    </w:pPr>
  </w:style>
  <w:style w:type="paragraph" w:styleId="ListParagraph">
    <w:name w:val="List Paragraph"/>
    <w:basedOn w:val="Normal"/>
    <w:uiPriority w:val="34"/>
    <w:qFormat/>
    <w:rsid w:val="00553C66"/>
    <w:pPr>
      <w:ind w:left="720"/>
      <w:contextualSpacing/>
    </w:pPr>
  </w:style>
  <w:style w:type="character" w:customStyle="1" w:styleId="EcorysTableBullet01Char">
    <w:name w:val="Ecorys Table Bullet 01 Char"/>
    <w:basedOn w:val="DefaultParagraphFont"/>
    <w:link w:val="EcorysTableBullet01"/>
    <w:rsid w:val="00A13D10"/>
    <w:rPr>
      <w:rFonts w:ascii="Open Sans Light" w:hAnsi="Open Sans Light" w:cs="Open Sans Light"/>
      <w:sz w:val="18"/>
      <w:szCs w:val="20"/>
    </w:rPr>
  </w:style>
  <w:style w:type="character" w:customStyle="1" w:styleId="EcorysTableBullet02Char">
    <w:name w:val="Ecorys Table Bullet 02 Char"/>
    <w:basedOn w:val="EcorysTableBullet01Char"/>
    <w:link w:val="EcorysTableBullet02"/>
    <w:rsid w:val="00A13D10"/>
    <w:rPr>
      <w:rFonts w:ascii="Open Sans Light" w:hAnsi="Open Sans Light" w:cs="Open Sans Light"/>
      <w:sz w:val="18"/>
      <w:szCs w:val="20"/>
    </w:rPr>
  </w:style>
  <w:style w:type="table" w:styleId="GridTable4-Accent1">
    <w:name w:val="Grid Table 4 Accent 1"/>
    <w:basedOn w:val="TableNormal"/>
    <w:uiPriority w:val="49"/>
    <w:rsid w:val="00C74838"/>
    <w:pPr>
      <w:spacing w:after="0" w:line="240" w:lineRule="auto"/>
    </w:pPr>
    <w:tblPr>
      <w:tblStyleRowBandSize w:val="1"/>
      <w:tblStyleColBandSize w:val="1"/>
      <w:tblBorders>
        <w:top w:val="single" w:sz="4" w:space="0" w:color="3BAFFF" w:themeColor="accent1" w:themeTint="99"/>
        <w:left w:val="single" w:sz="4" w:space="0" w:color="3BAFFF" w:themeColor="accent1" w:themeTint="99"/>
        <w:bottom w:val="single" w:sz="4" w:space="0" w:color="3BAFFF" w:themeColor="accent1" w:themeTint="99"/>
        <w:right w:val="single" w:sz="4" w:space="0" w:color="3BAFFF" w:themeColor="accent1" w:themeTint="99"/>
        <w:insideH w:val="single" w:sz="4" w:space="0" w:color="3BAFFF" w:themeColor="accent1" w:themeTint="99"/>
        <w:insideV w:val="single" w:sz="4" w:space="0" w:color="3BAFFF" w:themeColor="accent1" w:themeTint="99"/>
      </w:tblBorders>
    </w:tblPr>
    <w:tblStylePr w:type="firstRow">
      <w:rPr>
        <w:b/>
        <w:bCs/>
        <w:color w:val="FFFFFF" w:themeColor="background1"/>
      </w:rPr>
      <w:tblPr/>
      <w:tcPr>
        <w:tcBorders>
          <w:top w:val="single" w:sz="4" w:space="0" w:color="006EB8" w:themeColor="accent1"/>
          <w:left w:val="single" w:sz="4" w:space="0" w:color="006EB8" w:themeColor="accent1"/>
          <w:bottom w:val="single" w:sz="4" w:space="0" w:color="006EB8" w:themeColor="accent1"/>
          <w:right w:val="single" w:sz="4" w:space="0" w:color="006EB8" w:themeColor="accent1"/>
          <w:insideH w:val="nil"/>
          <w:insideV w:val="nil"/>
        </w:tcBorders>
        <w:shd w:val="clear" w:color="auto" w:fill="006EB8" w:themeFill="accent1"/>
      </w:tcPr>
    </w:tblStylePr>
    <w:tblStylePr w:type="lastRow">
      <w:rPr>
        <w:b/>
        <w:bCs/>
      </w:rPr>
      <w:tblPr/>
      <w:tcPr>
        <w:tcBorders>
          <w:top w:val="double" w:sz="4" w:space="0" w:color="006EB8" w:themeColor="accent1"/>
        </w:tcBorders>
      </w:tcPr>
    </w:tblStylePr>
    <w:tblStylePr w:type="firstCol">
      <w:rPr>
        <w:b/>
        <w:bCs/>
      </w:rPr>
    </w:tblStylePr>
    <w:tblStylePr w:type="lastCol">
      <w:rPr>
        <w:b/>
        <w:bCs/>
      </w:rPr>
    </w:tblStylePr>
    <w:tblStylePr w:type="band1Vert">
      <w:tblPr/>
      <w:tcPr>
        <w:shd w:val="clear" w:color="auto" w:fill="BDE4FF" w:themeFill="accent1" w:themeFillTint="33"/>
      </w:tcPr>
    </w:tblStylePr>
    <w:tblStylePr w:type="band1Horz">
      <w:tblPr/>
      <w:tcPr>
        <w:shd w:val="clear" w:color="auto" w:fill="BDE4FF" w:themeFill="accent1" w:themeFillTint="33"/>
      </w:tcPr>
    </w:tblStylePr>
  </w:style>
  <w:style w:type="paragraph" w:styleId="Revision">
    <w:name w:val="Revision"/>
    <w:hidden/>
    <w:uiPriority w:val="99"/>
    <w:semiHidden/>
    <w:rsid w:val="00722068"/>
    <w:pPr>
      <w:spacing w:after="0" w:line="240" w:lineRule="auto"/>
    </w:pPr>
    <w:rPr>
      <w:color w:val="000000" w:themeColor="text1"/>
    </w:rPr>
  </w:style>
  <w:style w:type="character" w:styleId="FollowedHyperlink">
    <w:name w:val="FollowedHyperlink"/>
    <w:basedOn w:val="DefaultParagraphFont"/>
    <w:uiPriority w:val="99"/>
    <w:semiHidden/>
    <w:unhideWhenUsed/>
    <w:rsid w:val="001D07D5"/>
    <w:rPr>
      <w:color w:val="2E2960" w:themeColor="followedHyperlink"/>
      <w:u w:val="single"/>
    </w:rPr>
  </w:style>
  <w:style w:type="character" w:customStyle="1" w:styleId="cf01">
    <w:name w:val="cf01"/>
    <w:basedOn w:val="DefaultParagraphFont"/>
    <w:rsid w:val="00B35398"/>
    <w:rPr>
      <w:rFonts w:ascii="Segoe UI" w:hAnsi="Segoe UI" w:cs="Segoe UI" w:hint="default"/>
      <w:sz w:val="18"/>
      <w:szCs w:val="18"/>
    </w:rPr>
  </w:style>
  <w:style w:type="character" w:styleId="UnresolvedMention">
    <w:name w:val="Unresolved Mention"/>
    <w:basedOn w:val="DefaultParagraphFont"/>
    <w:uiPriority w:val="99"/>
    <w:semiHidden/>
    <w:unhideWhenUsed/>
    <w:rsid w:val="00FC68F9"/>
    <w:rPr>
      <w:color w:val="605E5C"/>
      <w:shd w:val="clear" w:color="auto" w:fill="E1DFDD"/>
    </w:rPr>
  </w:style>
  <w:style w:type="character" w:customStyle="1" w:styleId="ui-provider">
    <w:name w:val="ui-provider"/>
    <w:basedOn w:val="DefaultParagraphFont"/>
    <w:rsid w:val="00931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26287">
      <w:bodyDiv w:val="1"/>
      <w:marLeft w:val="0"/>
      <w:marRight w:val="0"/>
      <w:marTop w:val="0"/>
      <w:marBottom w:val="0"/>
      <w:divBdr>
        <w:top w:val="none" w:sz="0" w:space="0" w:color="auto"/>
        <w:left w:val="none" w:sz="0" w:space="0" w:color="auto"/>
        <w:bottom w:val="none" w:sz="0" w:space="0" w:color="auto"/>
        <w:right w:val="none" w:sz="0" w:space="0" w:color="auto"/>
      </w:divBdr>
    </w:div>
    <w:div w:id="148064234">
      <w:bodyDiv w:val="1"/>
      <w:marLeft w:val="0"/>
      <w:marRight w:val="0"/>
      <w:marTop w:val="0"/>
      <w:marBottom w:val="0"/>
      <w:divBdr>
        <w:top w:val="none" w:sz="0" w:space="0" w:color="auto"/>
        <w:left w:val="none" w:sz="0" w:space="0" w:color="auto"/>
        <w:bottom w:val="none" w:sz="0" w:space="0" w:color="auto"/>
        <w:right w:val="none" w:sz="0" w:space="0" w:color="auto"/>
      </w:divBdr>
    </w:div>
    <w:div w:id="179979252">
      <w:bodyDiv w:val="1"/>
      <w:marLeft w:val="0"/>
      <w:marRight w:val="0"/>
      <w:marTop w:val="0"/>
      <w:marBottom w:val="0"/>
      <w:divBdr>
        <w:top w:val="none" w:sz="0" w:space="0" w:color="auto"/>
        <w:left w:val="none" w:sz="0" w:space="0" w:color="auto"/>
        <w:bottom w:val="none" w:sz="0" w:space="0" w:color="auto"/>
        <w:right w:val="none" w:sz="0" w:space="0" w:color="auto"/>
      </w:divBdr>
      <w:divsChild>
        <w:div w:id="1732727171">
          <w:marLeft w:val="547"/>
          <w:marRight w:val="0"/>
          <w:marTop w:val="400"/>
          <w:marBottom w:val="0"/>
          <w:divBdr>
            <w:top w:val="none" w:sz="0" w:space="0" w:color="auto"/>
            <w:left w:val="none" w:sz="0" w:space="0" w:color="auto"/>
            <w:bottom w:val="none" w:sz="0" w:space="0" w:color="auto"/>
            <w:right w:val="none" w:sz="0" w:space="0" w:color="auto"/>
          </w:divBdr>
        </w:div>
        <w:div w:id="1500730606">
          <w:marLeft w:val="547"/>
          <w:marRight w:val="0"/>
          <w:marTop w:val="400"/>
          <w:marBottom w:val="0"/>
          <w:divBdr>
            <w:top w:val="none" w:sz="0" w:space="0" w:color="auto"/>
            <w:left w:val="none" w:sz="0" w:space="0" w:color="auto"/>
            <w:bottom w:val="none" w:sz="0" w:space="0" w:color="auto"/>
            <w:right w:val="none" w:sz="0" w:space="0" w:color="auto"/>
          </w:divBdr>
        </w:div>
        <w:div w:id="460466809">
          <w:marLeft w:val="547"/>
          <w:marRight w:val="0"/>
          <w:marTop w:val="400"/>
          <w:marBottom w:val="0"/>
          <w:divBdr>
            <w:top w:val="none" w:sz="0" w:space="0" w:color="auto"/>
            <w:left w:val="none" w:sz="0" w:space="0" w:color="auto"/>
            <w:bottom w:val="none" w:sz="0" w:space="0" w:color="auto"/>
            <w:right w:val="none" w:sz="0" w:space="0" w:color="auto"/>
          </w:divBdr>
        </w:div>
        <w:div w:id="345328916">
          <w:marLeft w:val="547"/>
          <w:marRight w:val="0"/>
          <w:marTop w:val="400"/>
          <w:marBottom w:val="0"/>
          <w:divBdr>
            <w:top w:val="none" w:sz="0" w:space="0" w:color="auto"/>
            <w:left w:val="none" w:sz="0" w:space="0" w:color="auto"/>
            <w:bottom w:val="none" w:sz="0" w:space="0" w:color="auto"/>
            <w:right w:val="none" w:sz="0" w:space="0" w:color="auto"/>
          </w:divBdr>
        </w:div>
      </w:divsChild>
    </w:div>
    <w:div w:id="244727002">
      <w:bodyDiv w:val="1"/>
      <w:marLeft w:val="0"/>
      <w:marRight w:val="0"/>
      <w:marTop w:val="0"/>
      <w:marBottom w:val="0"/>
      <w:divBdr>
        <w:top w:val="none" w:sz="0" w:space="0" w:color="auto"/>
        <w:left w:val="none" w:sz="0" w:space="0" w:color="auto"/>
        <w:bottom w:val="none" w:sz="0" w:space="0" w:color="auto"/>
        <w:right w:val="none" w:sz="0" w:space="0" w:color="auto"/>
      </w:divBdr>
    </w:div>
    <w:div w:id="436143147">
      <w:bodyDiv w:val="1"/>
      <w:marLeft w:val="0"/>
      <w:marRight w:val="0"/>
      <w:marTop w:val="0"/>
      <w:marBottom w:val="0"/>
      <w:divBdr>
        <w:top w:val="none" w:sz="0" w:space="0" w:color="auto"/>
        <w:left w:val="none" w:sz="0" w:space="0" w:color="auto"/>
        <w:bottom w:val="none" w:sz="0" w:space="0" w:color="auto"/>
        <w:right w:val="none" w:sz="0" w:space="0" w:color="auto"/>
      </w:divBdr>
    </w:div>
    <w:div w:id="462424412">
      <w:bodyDiv w:val="1"/>
      <w:marLeft w:val="0"/>
      <w:marRight w:val="0"/>
      <w:marTop w:val="0"/>
      <w:marBottom w:val="0"/>
      <w:divBdr>
        <w:top w:val="none" w:sz="0" w:space="0" w:color="auto"/>
        <w:left w:val="none" w:sz="0" w:space="0" w:color="auto"/>
        <w:bottom w:val="none" w:sz="0" w:space="0" w:color="auto"/>
        <w:right w:val="none" w:sz="0" w:space="0" w:color="auto"/>
      </w:divBdr>
      <w:divsChild>
        <w:div w:id="512768702">
          <w:marLeft w:val="1526"/>
          <w:marRight w:val="0"/>
          <w:marTop w:val="200"/>
          <w:marBottom w:val="0"/>
          <w:divBdr>
            <w:top w:val="none" w:sz="0" w:space="0" w:color="auto"/>
            <w:left w:val="none" w:sz="0" w:space="0" w:color="auto"/>
            <w:bottom w:val="none" w:sz="0" w:space="0" w:color="auto"/>
            <w:right w:val="none" w:sz="0" w:space="0" w:color="auto"/>
          </w:divBdr>
        </w:div>
      </w:divsChild>
    </w:div>
    <w:div w:id="485361191">
      <w:bodyDiv w:val="1"/>
      <w:marLeft w:val="0"/>
      <w:marRight w:val="0"/>
      <w:marTop w:val="0"/>
      <w:marBottom w:val="0"/>
      <w:divBdr>
        <w:top w:val="none" w:sz="0" w:space="0" w:color="auto"/>
        <w:left w:val="none" w:sz="0" w:space="0" w:color="auto"/>
        <w:bottom w:val="none" w:sz="0" w:space="0" w:color="auto"/>
        <w:right w:val="none" w:sz="0" w:space="0" w:color="auto"/>
      </w:divBdr>
      <w:divsChild>
        <w:div w:id="1610579871">
          <w:marLeft w:val="1526"/>
          <w:marRight w:val="0"/>
          <w:marTop w:val="200"/>
          <w:marBottom w:val="0"/>
          <w:divBdr>
            <w:top w:val="none" w:sz="0" w:space="0" w:color="auto"/>
            <w:left w:val="none" w:sz="0" w:space="0" w:color="auto"/>
            <w:bottom w:val="none" w:sz="0" w:space="0" w:color="auto"/>
            <w:right w:val="none" w:sz="0" w:space="0" w:color="auto"/>
          </w:divBdr>
        </w:div>
      </w:divsChild>
    </w:div>
    <w:div w:id="510029375">
      <w:bodyDiv w:val="1"/>
      <w:marLeft w:val="0"/>
      <w:marRight w:val="0"/>
      <w:marTop w:val="0"/>
      <w:marBottom w:val="0"/>
      <w:divBdr>
        <w:top w:val="none" w:sz="0" w:space="0" w:color="auto"/>
        <w:left w:val="none" w:sz="0" w:space="0" w:color="auto"/>
        <w:bottom w:val="none" w:sz="0" w:space="0" w:color="auto"/>
        <w:right w:val="none" w:sz="0" w:space="0" w:color="auto"/>
      </w:divBdr>
    </w:div>
    <w:div w:id="690226624">
      <w:bodyDiv w:val="1"/>
      <w:marLeft w:val="0"/>
      <w:marRight w:val="0"/>
      <w:marTop w:val="0"/>
      <w:marBottom w:val="0"/>
      <w:divBdr>
        <w:top w:val="none" w:sz="0" w:space="0" w:color="auto"/>
        <w:left w:val="none" w:sz="0" w:space="0" w:color="auto"/>
        <w:bottom w:val="none" w:sz="0" w:space="0" w:color="auto"/>
        <w:right w:val="none" w:sz="0" w:space="0" w:color="auto"/>
      </w:divBdr>
    </w:div>
    <w:div w:id="850339572">
      <w:bodyDiv w:val="1"/>
      <w:marLeft w:val="0"/>
      <w:marRight w:val="0"/>
      <w:marTop w:val="0"/>
      <w:marBottom w:val="0"/>
      <w:divBdr>
        <w:top w:val="none" w:sz="0" w:space="0" w:color="auto"/>
        <w:left w:val="none" w:sz="0" w:space="0" w:color="auto"/>
        <w:bottom w:val="none" w:sz="0" w:space="0" w:color="auto"/>
        <w:right w:val="none" w:sz="0" w:space="0" w:color="auto"/>
      </w:divBdr>
      <w:divsChild>
        <w:div w:id="217977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034531">
      <w:bodyDiv w:val="1"/>
      <w:marLeft w:val="0"/>
      <w:marRight w:val="0"/>
      <w:marTop w:val="0"/>
      <w:marBottom w:val="0"/>
      <w:divBdr>
        <w:top w:val="none" w:sz="0" w:space="0" w:color="auto"/>
        <w:left w:val="none" w:sz="0" w:space="0" w:color="auto"/>
        <w:bottom w:val="none" w:sz="0" w:space="0" w:color="auto"/>
        <w:right w:val="none" w:sz="0" w:space="0" w:color="auto"/>
      </w:divBdr>
    </w:div>
    <w:div w:id="1115443079">
      <w:bodyDiv w:val="1"/>
      <w:marLeft w:val="0"/>
      <w:marRight w:val="0"/>
      <w:marTop w:val="0"/>
      <w:marBottom w:val="0"/>
      <w:divBdr>
        <w:top w:val="none" w:sz="0" w:space="0" w:color="auto"/>
        <w:left w:val="none" w:sz="0" w:space="0" w:color="auto"/>
        <w:bottom w:val="none" w:sz="0" w:space="0" w:color="auto"/>
        <w:right w:val="none" w:sz="0" w:space="0" w:color="auto"/>
      </w:divBdr>
    </w:div>
    <w:div w:id="1116221002">
      <w:bodyDiv w:val="1"/>
      <w:marLeft w:val="0"/>
      <w:marRight w:val="0"/>
      <w:marTop w:val="0"/>
      <w:marBottom w:val="0"/>
      <w:divBdr>
        <w:top w:val="none" w:sz="0" w:space="0" w:color="auto"/>
        <w:left w:val="none" w:sz="0" w:space="0" w:color="auto"/>
        <w:bottom w:val="none" w:sz="0" w:space="0" w:color="auto"/>
        <w:right w:val="none" w:sz="0" w:space="0" w:color="auto"/>
      </w:divBdr>
    </w:div>
    <w:div w:id="1206331140">
      <w:bodyDiv w:val="1"/>
      <w:marLeft w:val="0"/>
      <w:marRight w:val="0"/>
      <w:marTop w:val="0"/>
      <w:marBottom w:val="0"/>
      <w:divBdr>
        <w:top w:val="none" w:sz="0" w:space="0" w:color="auto"/>
        <w:left w:val="none" w:sz="0" w:space="0" w:color="auto"/>
        <w:bottom w:val="none" w:sz="0" w:space="0" w:color="auto"/>
        <w:right w:val="none" w:sz="0" w:space="0" w:color="auto"/>
      </w:divBdr>
    </w:div>
    <w:div w:id="1278874444">
      <w:bodyDiv w:val="1"/>
      <w:marLeft w:val="0"/>
      <w:marRight w:val="0"/>
      <w:marTop w:val="0"/>
      <w:marBottom w:val="0"/>
      <w:divBdr>
        <w:top w:val="none" w:sz="0" w:space="0" w:color="auto"/>
        <w:left w:val="none" w:sz="0" w:space="0" w:color="auto"/>
        <w:bottom w:val="none" w:sz="0" w:space="0" w:color="auto"/>
        <w:right w:val="none" w:sz="0" w:space="0" w:color="auto"/>
      </w:divBdr>
    </w:div>
    <w:div w:id="1407728840">
      <w:bodyDiv w:val="1"/>
      <w:marLeft w:val="0"/>
      <w:marRight w:val="0"/>
      <w:marTop w:val="0"/>
      <w:marBottom w:val="0"/>
      <w:divBdr>
        <w:top w:val="none" w:sz="0" w:space="0" w:color="auto"/>
        <w:left w:val="none" w:sz="0" w:space="0" w:color="auto"/>
        <w:bottom w:val="none" w:sz="0" w:space="0" w:color="auto"/>
        <w:right w:val="none" w:sz="0" w:space="0" w:color="auto"/>
      </w:divBdr>
    </w:div>
    <w:div w:id="1422949995">
      <w:bodyDiv w:val="1"/>
      <w:marLeft w:val="0"/>
      <w:marRight w:val="0"/>
      <w:marTop w:val="0"/>
      <w:marBottom w:val="0"/>
      <w:divBdr>
        <w:top w:val="none" w:sz="0" w:space="0" w:color="auto"/>
        <w:left w:val="none" w:sz="0" w:space="0" w:color="auto"/>
        <w:bottom w:val="none" w:sz="0" w:space="0" w:color="auto"/>
        <w:right w:val="none" w:sz="0" w:space="0" w:color="auto"/>
      </w:divBdr>
    </w:div>
    <w:div w:id="1619989984">
      <w:bodyDiv w:val="1"/>
      <w:marLeft w:val="0"/>
      <w:marRight w:val="0"/>
      <w:marTop w:val="0"/>
      <w:marBottom w:val="0"/>
      <w:divBdr>
        <w:top w:val="none" w:sz="0" w:space="0" w:color="auto"/>
        <w:left w:val="none" w:sz="0" w:space="0" w:color="auto"/>
        <w:bottom w:val="none" w:sz="0" w:space="0" w:color="auto"/>
        <w:right w:val="none" w:sz="0" w:space="0" w:color="auto"/>
      </w:divBdr>
    </w:div>
    <w:div w:id="1807160053">
      <w:bodyDiv w:val="1"/>
      <w:marLeft w:val="0"/>
      <w:marRight w:val="0"/>
      <w:marTop w:val="0"/>
      <w:marBottom w:val="0"/>
      <w:divBdr>
        <w:top w:val="none" w:sz="0" w:space="0" w:color="auto"/>
        <w:left w:val="none" w:sz="0" w:space="0" w:color="auto"/>
        <w:bottom w:val="none" w:sz="0" w:space="0" w:color="auto"/>
        <w:right w:val="none" w:sz="0" w:space="0" w:color="auto"/>
      </w:divBdr>
    </w:div>
    <w:div w:id="2031644746">
      <w:bodyDiv w:val="1"/>
      <w:marLeft w:val="0"/>
      <w:marRight w:val="0"/>
      <w:marTop w:val="0"/>
      <w:marBottom w:val="0"/>
      <w:divBdr>
        <w:top w:val="none" w:sz="0" w:space="0" w:color="auto"/>
        <w:left w:val="none" w:sz="0" w:space="0" w:color="auto"/>
        <w:bottom w:val="none" w:sz="0" w:space="0" w:color="auto"/>
        <w:right w:val="none" w:sz="0" w:space="0" w:color="auto"/>
      </w:divBdr>
    </w:div>
    <w:div w:id="2072121365">
      <w:bodyDiv w:val="1"/>
      <w:marLeft w:val="0"/>
      <w:marRight w:val="0"/>
      <w:marTop w:val="0"/>
      <w:marBottom w:val="0"/>
      <w:divBdr>
        <w:top w:val="none" w:sz="0" w:space="0" w:color="auto"/>
        <w:left w:val="none" w:sz="0" w:space="0" w:color="auto"/>
        <w:bottom w:val="none" w:sz="0" w:space="0" w:color="auto"/>
        <w:right w:val="none" w:sz="0" w:space="0" w:color="auto"/>
      </w:divBdr>
      <w:divsChild>
        <w:div w:id="862089160">
          <w:marLeft w:val="1526"/>
          <w:marRight w:val="0"/>
          <w:marTop w:val="200"/>
          <w:marBottom w:val="0"/>
          <w:divBdr>
            <w:top w:val="none" w:sz="0" w:space="0" w:color="auto"/>
            <w:left w:val="none" w:sz="0" w:space="0" w:color="auto"/>
            <w:bottom w:val="none" w:sz="0" w:space="0" w:color="auto"/>
            <w:right w:val="none" w:sz="0" w:space="0" w:color="auto"/>
          </w:divBdr>
        </w:div>
      </w:divsChild>
    </w:div>
    <w:div w:id="2109613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activeoxfordshire.org/uploads/bsg-golab-arewerallyingtogether.pdf" TargetMode="External"/><Relationship Id="rId26" Type="http://schemas.openxmlformats.org/officeDocument/2006/relationships/hyperlink" Target="https://golab.bsg.ox.ac.uk/knowledge-bank/resources/the-use-of-social-impact-bonds-in-childrens-social-care-a-comparative-analysis-of-project-justifications-and-design-considerations-in-the-life-chances-fund/" TargetMode="External"/><Relationship Id="rId39" Type="http://schemas.openxmlformats.org/officeDocument/2006/relationships/hyperlink" Target="https://www.tnlcommunityfund.org.uk/media/insights/documents/CBO-2nd-Update-Report_FINAL_FINAL.pdf?mtime=20200117163615&amp;focal=none" TargetMode="External"/><Relationship Id="rId3" Type="http://schemas.openxmlformats.org/officeDocument/2006/relationships/customXml" Target="../customXml/item3.xml"/><Relationship Id="rId21" Type="http://schemas.openxmlformats.org/officeDocument/2006/relationships/hyperlink" Target="https://prucomm.ac.uk/assets/uploads/blog/2018/11/Understanding-the-new-commissioning-system-in-England-FINAL-REPORT-PR-R6-1113-25001-post-peer-review-v2.pdf" TargetMode="External"/><Relationship Id="rId34" Type="http://schemas.openxmlformats.org/officeDocument/2006/relationships/hyperlink" Target="https://www.local.gov.uk/sites/default/files/documents/25.212%20CCF_AA_0.pdf" TargetMode="External"/><Relationship Id="rId42" Type="http://schemas.openxmlformats.org/officeDocument/2006/relationships/hyperlink" Target="https://prucomm.ac.uk/assets/uploads/New_Models_of_Contracting_final_report__1_.pdf" TargetMode="External"/><Relationship Id="rId47" Type="http://schemas.openxmlformats.org/officeDocument/2006/relationships/hyperlink" Target="https://lgiu.org/wp-content/uploads/2022/04/LGIU-Local-Health-Systems-website.pdf"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hatworks-csc.org.uk/wp-content/uploads/WWCSC_sufficiency_report_Final_March22.pdf" TargetMode="External"/><Relationship Id="rId25" Type="http://schemas.openxmlformats.org/officeDocument/2006/relationships/hyperlink" Target="https://researchonline.lshtm.ac.uk/id/eprint/4650174/1/SIB%20Trailblazers%20Evaluation%20final%20report.pdf" TargetMode="External"/><Relationship Id="rId33" Type="http://schemas.openxmlformats.org/officeDocument/2006/relationships/hyperlink" Target="https://www.local.gov.uk/publications/national-procurement-strategy-local-government-england-2022" TargetMode="External"/><Relationship Id="rId38" Type="http://schemas.openxmlformats.org/officeDocument/2006/relationships/hyperlink" Target="https://www.drugsandalcohol.ie/34553/1/Kings_Fund_report_on_drugs_commissioning_and_accountability-2021.pdf/" TargetMode="External"/><Relationship Id="rId46" Type="http://schemas.openxmlformats.org/officeDocument/2006/relationships/hyperlink" Target="https://www.sibgroup.org.uk/wp-content/uploads/2022/06/Futurebuilders-Scoping-a-new-approach-to-social-value-through-social-investment-Final-Clean.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nuffieldtrust.org.uk/research/reforming-payment-for-health-care-in-europe-to-achieve-better-value" TargetMode="External"/><Relationship Id="rId29" Type="http://schemas.openxmlformats.org/officeDocument/2006/relationships/hyperlink" Target="https://bigsocietycapital.fra1.cdn.digitaloceanspaces.com/media/documents/BSC_Outcomes_For_All_Report_2022.pdf" TargetMode="External"/><Relationship Id="rId41" Type="http://schemas.openxmlformats.org/officeDocument/2006/relationships/hyperlink" Target="https://golab.bsg.ox.ac.uk/knowledge-bank/resources/kirklees-integrated-support-service-and-better-outcomes-partnership-the-first-report-from-a-longitudinal-evaluation-of-a-life-chances-fund-impact-bo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basw.co.uk/system/files/resources/basw_52344-7_0.pdf" TargetMode="External"/><Relationship Id="rId32" Type="http://schemas.openxmlformats.org/officeDocument/2006/relationships/hyperlink" Target="https://www.local.gov.uk/sites/default/files/documents/whole-council-approaches--1df.pdf" TargetMode="External"/><Relationship Id="rId37" Type="http://schemas.openxmlformats.org/officeDocument/2006/relationships/hyperlink" Target="https://www.kingsfund.org.uk/sites/default/files/2020-02/TBAC%20report%20%28web%29.pdf" TargetMode="External"/><Relationship Id="rId40" Type="http://schemas.openxmlformats.org/officeDocument/2006/relationships/hyperlink" Target="https://golab.bsg.ox.ac.uk/knowledge-bank/resources/commissioning-better-outcomes-evaluation-3rd-update-report/" TargetMode="External"/><Relationship Id="rId45" Type="http://schemas.openxmlformats.org/officeDocument/2006/relationships/hyperlink" Target="https://researchonline.lshtm.ac.uk/id/eprint/4652265/1/2019_PHP_PhD_Tan_SMS.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hura.shu.ac.uk/26572/1/tm-eval-comparative-final-2020.pdf" TargetMode="External"/><Relationship Id="rId28" Type="http://schemas.openxmlformats.org/officeDocument/2006/relationships/hyperlink" Target="https://www.york.ac.uk/media/healthsciences/images/research/prepare/AdultSocialCareLocalCommissioningBehaviours.pdf" TargetMode="External"/><Relationship Id="rId36" Type="http://schemas.openxmlformats.org/officeDocument/2006/relationships/hyperlink" Target="https://www.tnlcommunityfund.org.uk/media/insights/documents/Headstart-report-Partnership-working.pdf?mtime=20220322125344&amp;focal=none"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tect-de.mimecast.com/s/ifKlCWPxNgu5rgWNu6HTej?domain=golab.bsg.ox.ac.uk/" TargetMode="External"/><Relationship Id="rId31" Type="http://schemas.openxmlformats.org/officeDocument/2006/relationships/hyperlink" Target="https://www.local.gov.uk/sites/default/files/documents/25.70_Integrated%20Commissioning%20for%20Better%20Outcomes_final.pdf" TargetMode="External"/><Relationship Id="rId44" Type="http://schemas.openxmlformats.org/officeDocument/2006/relationships/hyperlink" Target="https://www.tnlcommunityfund.org.uk/media/insights/documents/CBO_Indepth_Reviews_HCT_Visit_1_FINAL1.pdf?mtime=20191104163945&amp;focal=no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yoh.org.uk/wp-content/uploads/2021/03/Improve-CS31_InspireNEET_1.pdf" TargetMode="External"/><Relationship Id="rId27" Type="http://schemas.openxmlformats.org/officeDocument/2006/relationships/hyperlink" Target="https://www.york.ac.uk/media/healthsciences/images/research/prepare/AdultSocialCareLocalCommissioningBehaviours.pdf" TargetMode="External"/><Relationship Id="rId30" Type="http://schemas.openxmlformats.org/officeDocument/2006/relationships/hyperlink" Target="https://sure.sunderland.ac.uk/id/eprint/8558/1/Electronic%20Version%20-%20A%20Practical%20Framework%20for%20Target%20Achievement%20in%20Payment%20by%20Results%20Provision%20-%20Dr%20Laura%20Johnstone.pdf" TargetMode="External"/><Relationship Id="rId35" Type="http://schemas.openxmlformats.org/officeDocument/2006/relationships/hyperlink" Target="https://assets.publishing.service.gov.uk/government/uploads/system/uploads/attachment_data/file/658921/Qualitative_Evaluation_of_the_London_Homelessness_SIB.pdf" TargetMode="External"/><Relationship Id="rId43" Type="http://schemas.openxmlformats.org/officeDocument/2006/relationships/hyperlink" Target="https://www.womensaid.org.uk/wp-content/uploads/2021/02/Fragile-funding-landscape-the-extent-of-local-authority-commissioning-in-the-domestic-abuse-refuge-sector-in-England-2020.pdf" TargetMode="External"/><Relationship Id="rId48" Type="http://schemas.openxmlformats.org/officeDocument/2006/relationships/header" Target="header4.xml"/><Relationship Id="rId8" Type="http://schemas.openxmlformats.org/officeDocument/2006/relationships/webSettings" Target="webSettings.xml"/><Relationship Id="rId51" Type="http://schemas.microsoft.com/office/2020/10/relationships/intelligence" Target="intelligence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s://golab.bsg.ox.ac.uk/documents/CBO-3rd-update-report.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ie.Smith\Downloads\Ecorys-Template-Full%20(2).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83583"/>
      </a:dk2>
      <a:lt2>
        <a:srgbClr val="E7E6E6"/>
      </a:lt2>
      <a:accent1>
        <a:srgbClr val="006EB8"/>
      </a:accent1>
      <a:accent2>
        <a:srgbClr val="2E2960"/>
      </a:accent2>
      <a:accent3>
        <a:srgbClr val="3FA8DF"/>
      </a:accent3>
      <a:accent4>
        <a:srgbClr val="0F9EA0"/>
      </a:accent4>
      <a:accent5>
        <a:srgbClr val="A24191"/>
      </a:accent5>
      <a:accent6>
        <a:srgbClr val="F7A82A"/>
      </a:accent6>
      <a:hlink>
        <a:srgbClr val="006EB8"/>
      </a:hlink>
      <a:folHlink>
        <a:srgbClr val="2E29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20f855-eb8d-42c3-b422-49196f44f23f">
      <Terms xmlns="http://schemas.microsoft.com/office/infopath/2007/PartnerControls"/>
    </lcf76f155ced4ddcb4097134ff3c332f>
    <TaxCatchAll xmlns="c7e24bc2-729e-4054-8454-d4d5db5a28c3" xsi:nil="true"/>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SharedWithUsers xmlns="8a136df6-1611-4b7b-87b5-58e2ae6e42be">
      <UserInfo>
        <DisplayName>Eileen Jack</DisplayName>
        <AccountId>345</AccountId>
        <AccountType/>
      </UserInfo>
      <UserInfo>
        <DisplayName>Katy Luscombe</DisplayName>
        <AccountId>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3" ma:contentTypeDescription="Create a new document." ma:contentTypeScope="" ma:versionID="efa4c2b16682f72379c480c2077cfe46">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241dbc64f653e8b9ddfe727a83958ab7"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13ae3082-b61a-46a7-a85d-15699c8a5238}"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E85DE-904F-4760-8B06-657851EE9C8A}">
  <ds:schemaRefs>
    <ds:schemaRef ds:uri="http://schemas.openxmlformats.org/officeDocument/2006/bibliography"/>
  </ds:schemaRefs>
</ds:datastoreItem>
</file>

<file path=customXml/itemProps2.xml><?xml version="1.0" encoding="utf-8"?>
<ds:datastoreItem xmlns:ds="http://schemas.openxmlformats.org/officeDocument/2006/customXml" ds:itemID="{FC6A6F7A-B869-4D23-949D-BA788BBDC8D4}">
  <ds:schemaRefs>
    <ds:schemaRef ds:uri="8a136df6-1611-4b7b-87b5-58e2ae6e42be"/>
    <ds:schemaRef ds:uri="http://purl.org/dc/dcmitype/"/>
    <ds:schemaRef ds:uri="c7e24bc2-729e-4054-8454-d4d5db5a28c3"/>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a120f855-eb8d-42c3-b422-49196f44f23f"/>
  </ds:schemaRefs>
</ds:datastoreItem>
</file>

<file path=customXml/itemProps3.xml><?xml version="1.0" encoding="utf-8"?>
<ds:datastoreItem xmlns:ds="http://schemas.openxmlformats.org/officeDocument/2006/customXml" ds:itemID="{03D5DE60-B9C1-47F1-8078-58D16A4A94CC}">
  <ds:schemaRefs>
    <ds:schemaRef ds:uri="http://schemas.microsoft.com/sharepoint/v3/contenttype/forms"/>
  </ds:schemaRefs>
</ds:datastoreItem>
</file>

<file path=customXml/itemProps4.xml><?xml version="1.0" encoding="utf-8"?>
<ds:datastoreItem xmlns:ds="http://schemas.openxmlformats.org/officeDocument/2006/customXml" ds:itemID="{EC6B4B24-1432-426D-86AD-9B3885C49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Ecorys-Template-Full (2)</Template>
  <TotalTime>0</TotalTime>
  <Pages>29</Pages>
  <Words>14834</Words>
  <Characters>84554</Characters>
  <Application>Microsoft Office Word</Application>
  <DocSecurity>4</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Ecorys</Company>
  <LinksUpToDate>false</LinksUpToDate>
  <CharactersWithSpaces>99190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Smith</dc:creator>
  <cp:keywords/>
  <dc:description/>
  <cp:lastModifiedBy>Nicolas Hogg</cp:lastModifiedBy>
  <cp:revision>2</cp:revision>
  <cp:lastPrinted>2020-02-27T22:02:00Z</cp:lastPrinted>
  <dcterms:created xsi:type="dcterms:W3CDTF">2024-08-09T11:02:00Z</dcterms:created>
  <dcterms:modified xsi:type="dcterms:W3CDTF">2024-08-09T11:02:00Z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